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1.5  ·  ISO 27001 OVERVIEW</w:t>
      </w:r>
    </w:p>
    <w:p>
      <w:pPr>
        <w:pStyle w:val="Heading1"/>
        <w:spacing w:after="120"/>
      </w:pPr>
      <w:r>
        <w:rPr>
          <w:rFonts w:ascii="Arial" w:cs="Arial" w:eastAsia="Arial" w:hAnsi="Arial"/>
          <w:b/>
          <w:bCs/>
          <w:color w:val="1B3A5C"/>
          <w:sz w:val="44"/>
          <w:szCs w:val="44"/>
        </w:rPr>
        <w:t xml:space="preserve">ISO 27001 vs Other Security Frameworks</w:t>
      </w:r>
    </w:p>
    <w:p>
      <w:pPr>
        <w:spacing w:after="60"/>
      </w:pPr>
      <w:r>
        <w:rPr>
          <w:rFonts w:ascii="Georgia" w:cs="Georgia" w:eastAsia="Georgia" w:hAnsi="Georgia"/>
          <w:i/>
          <w:iCs/>
          <w:color w:val="4B5563"/>
          <w:sz w:val="24"/>
          <w:szCs w:val="24"/>
        </w:rPr>
        <w:t xml:space="preserve">A clear-eyed comparison of ISO 27001 against SOC 2, NIST CSF, CIS Controls, and COBIT — what each framework is actually for, how they relate, and how to choose the right combination for your organization.</w:t>
      </w:r>
    </w:p>
    <w:p>
      <w:pPr>
        <w:spacing w:after="40"/>
      </w:pPr>
      <w:r>
        <w:rPr>
          <w:rFonts w:ascii="Arial" w:cs="Arial" w:eastAsia="Arial" w:hAnsi="Arial"/>
          <w:color w:val="9CA3AF"/>
          <w:sz w:val="18"/>
          <w:szCs w:val="18"/>
        </w:rPr>
        <w:t xml:space="preserve">Bitlion GRC Documentation  ·  Updated March 2026  ·  Reading time: ~16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security framework landscape is genuinely confusing. ISO 27001, SOC 2, NIST CSF, CIS Controls, COBIT — all of them claim to address information security, all of them have real adoption, and none of them are obviously redundant. Organizations regularly ask whether they need one or several, which one to start with, and whether getting ISO 27001 means they can ignore the others.</w:t>
      </w:r>
    </w:p>
    <w:p>
      <w:pPr>
        <w:spacing w:after="80"/>
      </w:pPr>
      <w:r>
        <w:t xml:space="preserve"/>
      </w:r>
    </w:p>
    <w:p>
      <w:pPr>
        <w:spacing w:after="160" w:line="320"/>
        <w:jc w:val="both"/>
      </w:pPr>
      <w:r>
        <w:rPr>
          <w:rFonts w:ascii="Georgia" w:cs="Georgia" w:eastAsia="Georgia" w:hAnsi="Georgia"/>
          <w:color w:val="111827"/>
          <w:sz w:val="22"/>
          <w:szCs w:val="22"/>
        </w:rPr>
        <w:t xml:space="preserve">The confusion is understandable but unnecessary. These frameworks are not competing for the same job. They were built by different organizations, for different purposes, for different audiences. Once you understand what each one actually is — not just what it claims to be — the question of which to use becomes much easier to answer.</w:t>
      </w:r>
    </w:p>
    <w:p>
      <w:pPr>
        <w:spacing w:after="80"/>
      </w:pPr>
      <w:r>
        <w:t xml:space="preserve"/>
      </w:r>
    </w:p>
    <w:p>
      <w:pPr>
        <w:spacing w:after="160" w:line="320"/>
        <w:jc w:val="both"/>
      </w:pPr>
      <w:r>
        <w:rPr>
          <w:rFonts w:ascii="Georgia" w:cs="Georgia" w:eastAsia="Georgia" w:hAnsi="Georgia"/>
          <w:color w:val="111827"/>
          <w:sz w:val="22"/>
          <w:szCs w:val="22"/>
        </w:rPr>
        <w:t xml:space="preserve">This article gives you a clear-eyed comparison. Each framework is explained on its own terms before the comparisons are drawn. The goal is not to declare a winner — it is to give you enough understanding to make a deliberate, informed choice about where to invest your organization's compliance effort.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Understanding Each Framework on Its Own Terms</w:t>
      </w:r>
    </w:p>
    <w:p>
      <w:pPr>
        <w:spacing w:after="80"/>
      </w:pPr>
      <w:r>
        <w:t xml:space="preserve"/>
      </w:r>
    </w:p>
    <w:p>
      <w:pPr>
        <w:spacing w:after="160" w:line="320"/>
        <w:jc w:val="both"/>
      </w:pPr>
      <w:r>
        <w:rPr>
          <w:rFonts w:ascii="Georgia" w:cs="Georgia" w:eastAsia="Georgia" w:hAnsi="Georgia"/>
          <w:color w:val="111827"/>
          <w:sz w:val="22"/>
          <w:szCs w:val="22"/>
        </w:rPr>
        <w:t xml:space="preserve">Before comparing these frameworks, each one deserves a fair and accurate description. The summaries below focus on what each framework actually is, who built it, and what problem it was designed to solve.</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1B3A5C" w:val="clear"/>
            <w:tcMar>
              <w:top w:type="dxa" w:w="120"/>
              <w:left w:type="dxa" w:w="180"/>
              <w:bottom w:type="dxa" w:w="120"/>
              <w:right w:type="dxa" w:w="180"/>
            </w:tcMar>
          </w:tcPr>
          <w:p>
            <w:r>
              <w:rPr>
                <w:rFonts w:ascii="Arial" w:cs="Arial" w:eastAsia="Arial" w:hAnsi="Arial"/>
                <w:b/>
                <w:bCs/>
                <w:color w:val="FFFFFF"/>
                <w:sz w:val="26"/>
                <w:szCs w:val="26"/>
              </w:rPr>
              <w:t xml:space="preserve">ISO/IEC 27001</w:t>
            </w:r>
          </w:p>
        </w:tc>
      </w:tr>
      <w:tr>
        <w:tc>
          <w:tcPr>
            <w:tcW w:type="dxa" w:w="9360"/>
            <w:tcBorders>
              <w:top w:val="none" w:color="FFFFFF" w:sz="0"/>
              <w:left w:val="single" w:color="E5E7EB" w:sz="1"/>
              <w:bottom w:val="single" w:color="E5E7EB" w:sz="1"/>
              <w:right w:val="single" w:color="E5E7EB" w:sz="1"/>
            </w:tcBorders>
            <w:shd w:fill="EBF2FB" w:val="clear"/>
            <w:tcMar>
              <w:top w:type="dxa" w:w="120"/>
              <w:left w:type="dxa" w:w="180"/>
              <w:bottom w:type="dxa" w:w="120"/>
              <w:right w:type="dxa" w:w="180"/>
            </w:tcMar>
          </w:tcPr>
          <w:p>
            <w:pPr>
              <w:spacing w:after="60"/>
            </w:pPr>
            <w:r>
              <w:rPr>
                <w:rFonts w:ascii="Arial" w:cs="Arial" w:eastAsia="Arial" w:hAnsi="Arial"/>
                <w:b/>
                <w:bCs/>
                <w:color w:val="2563A8"/>
                <w:sz w:val="20"/>
                <w:szCs w:val="20"/>
              </w:rPr>
              <w:t xml:space="preserve">Owner: </w:t>
            </w:r>
            <w:r>
              <w:rPr>
                <w:rFonts w:ascii="Georgia" w:cs="Georgia" w:eastAsia="Georgia" w:hAnsi="Georgia"/>
                <w:color w:val="111827"/>
                <w:sz w:val="20"/>
                <w:szCs w:val="20"/>
              </w:rPr>
              <w:t xml:space="preserve">International Organization for Standardization (ISO) + IEC</w:t>
            </w:r>
          </w:p>
          <w:p>
            <w:pPr>
              <w:spacing w:after="60"/>
            </w:pPr>
            <w:r>
              <w:rPr>
                <w:rFonts w:ascii="Arial" w:cs="Arial" w:eastAsia="Arial" w:hAnsi="Arial"/>
                <w:b/>
                <w:bCs/>
                <w:color w:val="2563A8"/>
                <w:sz w:val="20"/>
                <w:szCs w:val="20"/>
              </w:rPr>
              <w:t xml:space="preserve">Type: </w:t>
            </w:r>
            <w:r>
              <w:rPr>
                <w:rFonts w:ascii="Georgia" w:cs="Georgia" w:eastAsia="Georgia" w:hAnsi="Georgia"/>
                <w:color w:val="111827"/>
                <w:sz w:val="20"/>
                <w:szCs w:val="20"/>
              </w:rPr>
              <w:t xml:space="preserve">International certifiable management system standard</w:t>
            </w:r>
          </w:p>
          <w:p>
            <w:pPr>
              <w:spacing w:after="60"/>
            </w:pPr>
            <w:r>
              <w:rPr>
                <w:rFonts w:ascii="Arial" w:cs="Arial" w:eastAsia="Arial" w:hAnsi="Arial"/>
                <w:b/>
                <w:bCs/>
                <w:color w:val="2563A8"/>
                <w:sz w:val="20"/>
                <w:szCs w:val="20"/>
              </w:rPr>
              <w:t xml:space="preserve">Certification available: </w:t>
            </w:r>
            <w:r>
              <w:rPr>
                <w:rFonts w:ascii="Georgia" w:cs="Georgia" w:eastAsia="Georgia" w:hAnsi="Georgia"/>
                <w:color w:val="111827"/>
                <w:sz w:val="20"/>
                <w:szCs w:val="20"/>
              </w:rPr>
              <w:t xml:space="preserve">Yes — formal third-party certification from accredited body, valid for 3 years</w:t>
            </w:r>
          </w:p>
          <w:p>
            <w:pPr>
              <w:spacing w:after="0"/>
            </w:pPr>
            <w:r>
              <w:rPr>
                <w:rFonts w:ascii="Arial" w:cs="Arial" w:eastAsia="Arial" w:hAnsi="Arial"/>
                <w:b/>
                <w:bCs/>
                <w:color w:val="2563A8"/>
                <w:sz w:val="20"/>
                <w:szCs w:val="20"/>
              </w:rPr>
              <w:t xml:space="preserve">Best for: </w:t>
            </w:r>
            <w:r>
              <w:rPr>
                <w:rFonts w:ascii="Georgia" w:cs="Georgia" w:eastAsia="Georgia" w:hAnsi="Georgia"/>
                <w:color w:val="111827"/>
                <w:sz w:val="20"/>
                <w:szCs w:val="20"/>
              </w:rPr>
              <w:t xml:space="preserve">Organizations that need internationally recognized, independently verified proof of a systematic ISMS — particularly in regulated industries, government procurement, and global client markets.</w:t>
            </w:r>
          </w:p>
        </w:tc>
      </w:tr>
    </w:tbl>
    <w:p>
      <w:pPr>
        <w:spacing w:after="80"/>
      </w:pPr>
      <w:r>
        <w:t xml:space="preserve"/>
      </w:r>
    </w:p>
    <w:p>
      <w:pPr>
        <w:spacing w:after="160" w:line="320"/>
        <w:jc w:val="both"/>
      </w:pPr>
      <w:r>
        <w:rPr>
          <w:rFonts w:ascii="Georgia" w:cs="Georgia" w:eastAsia="Georgia" w:hAnsi="Georgia"/>
          <w:color w:val="111827"/>
          <w:sz w:val="22"/>
          <w:szCs w:val="22"/>
        </w:rPr>
        <w:t xml:space="preserve">ISO 27001 is the only framework in this comparison that is both international in scope and certifiable by an independent third party. It defines requirements for an Information Security Management System — meaning it governs how an organization manages information security risk, not just which controls it implements. The specific controls (Annex A) are informed by risk assessment, not prescribed uniformly. Its global recognition and direct citation in Indonesian regulatory frameworks make it the de facto standard for organizations operating in or selling to Indonesia's regulated sectors.</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7C3AED" w:val="clear"/>
            <w:tcMar>
              <w:top w:type="dxa" w:w="120"/>
              <w:left w:type="dxa" w:w="180"/>
              <w:bottom w:type="dxa" w:w="120"/>
              <w:right w:type="dxa" w:w="180"/>
            </w:tcMar>
          </w:tcPr>
          <w:p>
            <w:r>
              <w:rPr>
                <w:rFonts w:ascii="Arial" w:cs="Arial" w:eastAsia="Arial" w:hAnsi="Arial"/>
                <w:b/>
                <w:bCs/>
                <w:color w:val="FFFFFF"/>
                <w:sz w:val="26"/>
                <w:szCs w:val="26"/>
              </w:rPr>
              <w:t xml:space="preserve">SOC 2 (Service Organization Control 2)</w:t>
            </w:r>
          </w:p>
        </w:tc>
      </w:tr>
      <w:tr>
        <w:tc>
          <w:tcPr>
            <w:tcW w:type="dxa" w:w="9360"/>
            <w:tcBorders>
              <w:top w:val="none" w:color="FFFFFF" w:sz="0"/>
              <w:left w:val="single" w:color="E5E7EB" w:sz="1"/>
              <w:bottom w:val="single" w:color="E5E7EB" w:sz="1"/>
              <w:right w:val="single" w:color="E5E7EB" w:sz="1"/>
            </w:tcBorders>
            <w:shd w:fill="F5F3FF" w:val="clear"/>
            <w:tcMar>
              <w:top w:type="dxa" w:w="120"/>
              <w:left w:type="dxa" w:w="180"/>
              <w:bottom w:type="dxa" w:w="120"/>
              <w:right w:type="dxa" w:w="180"/>
            </w:tcMar>
          </w:tcPr>
          <w:p>
            <w:pPr>
              <w:spacing w:after="60"/>
            </w:pPr>
            <w:r>
              <w:rPr>
                <w:rFonts w:ascii="Arial" w:cs="Arial" w:eastAsia="Arial" w:hAnsi="Arial"/>
                <w:b/>
                <w:bCs/>
                <w:color w:val="6D28D9"/>
                <w:sz w:val="20"/>
                <w:szCs w:val="20"/>
              </w:rPr>
              <w:t xml:space="preserve">Owner: </w:t>
            </w:r>
            <w:r>
              <w:rPr>
                <w:rFonts w:ascii="Georgia" w:cs="Georgia" w:eastAsia="Georgia" w:hAnsi="Georgia"/>
                <w:color w:val="111827"/>
                <w:sz w:val="20"/>
                <w:szCs w:val="20"/>
              </w:rPr>
              <w:t xml:space="preserve">American Institute of Certified Public Accountants (AICPA)</w:t>
            </w:r>
          </w:p>
          <w:p>
            <w:pPr>
              <w:spacing w:after="60"/>
            </w:pPr>
            <w:r>
              <w:rPr>
                <w:rFonts w:ascii="Arial" w:cs="Arial" w:eastAsia="Arial" w:hAnsi="Arial"/>
                <w:b/>
                <w:bCs/>
                <w:color w:val="6D28D9"/>
                <w:sz w:val="20"/>
                <w:szCs w:val="20"/>
              </w:rPr>
              <w:t xml:space="preserve">Type: </w:t>
            </w:r>
            <w:r>
              <w:rPr>
                <w:rFonts w:ascii="Georgia" w:cs="Georgia" w:eastAsia="Georgia" w:hAnsi="Georgia"/>
                <w:color w:val="111827"/>
                <w:sz w:val="20"/>
                <w:szCs w:val="20"/>
              </w:rPr>
              <w:t xml:space="preserve">US attestation framework for service organizations</w:t>
            </w:r>
          </w:p>
          <w:p>
            <w:pPr>
              <w:spacing w:after="60"/>
            </w:pPr>
            <w:r>
              <w:rPr>
                <w:rFonts w:ascii="Arial" w:cs="Arial" w:eastAsia="Arial" w:hAnsi="Arial"/>
                <w:b/>
                <w:bCs/>
                <w:color w:val="6D28D9"/>
                <w:sz w:val="20"/>
                <w:szCs w:val="20"/>
              </w:rPr>
              <w:t xml:space="preserve">Certification available: </w:t>
            </w:r>
            <w:r>
              <w:rPr>
                <w:rFonts w:ascii="Georgia" w:cs="Georgia" w:eastAsia="Georgia" w:hAnsi="Georgia"/>
                <w:color w:val="111827"/>
                <w:sz w:val="20"/>
                <w:szCs w:val="20"/>
              </w:rPr>
              <w:t xml:space="preserve">Not certification — attestation report issued by a licensed CPA firm. Type I (design) and Type II (operating effectiveness over time).</w:t>
            </w:r>
          </w:p>
          <w:p>
            <w:pPr>
              <w:spacing w:after="0"/>
            </w:pPr>
            <w:r>
              <w:rPr>
                <w:rFonts w:ascii="Arial" w:cs="Arial" w:eastAsia="Arial" w:hAnsi="Arial"/>
                <w:b/>
                <w:bCs/>
                <w:color w:val="6D28D9"/>
                <w:sz w:val="20"/>
                <w:szCs w:val="20"/>
              </w:rPr>
              <w:t xml:space="preserve">Best for: </w:t>
            </w:r>
            <w:r>
              <w:rPr>
                <w:rFonts w:ascii="Georgia" w:cs="Georgia" w:eastAsia="Georgia" w:hAnsi="Georgia"/>
                <w:color w:val="111827"/>
                <w:sz w:val="20"/>
                <w:szCs w:val="20"/>
              </w:rPr>
              <w:t xml:space="preserve">SaaS companies, cloud providers, and technology service organizations with US enterprise clients who require proof of controls over security, availability, processing integrity, confidentiality, and privacy.</w:t>
            </w:r>
          </w:p>
        </w:tc>
      </w:tr>
    </w:tbl>
    <w:p>
      <w:pPr>
        <w:spacing w:after="80"/>
      </w:pPr>
      <w:r>
        <w:t xml:space="preserve"/>
      </w:r>
    </w:p>
    <w:p>
      <w:pPr>
        <w:spacing w:after="160" w:line="320"/>
        <w:jc w:val="both"/>
      </w:pPr>
      <w:r>
        <w:rPr>
          <w:rFonts w:ascii="Georgia" w:cs="Georgia" w:eastAsia="Georgia" w:hAnsi="Georgia"/>
          <w:color w:val="111827"/>
          <w:sz w:val="22"/>
          <w:szCs w:val="22"/>
        </w:rPr>
        <w:t xml:space="preserve">SOC 2 is not a standard — it is an attestation framework. A licensed CPA firm examines an organization's controls against the AICPA's Trust Services Criteria and issues a report. There is no SOC 2 certificate, no public registry, and no internationally recognized body — only a report from a specific auditor at a specific point in time. SOC 2 is deeply US-centric and has almost no direct regulatory recognition outside North America. Its dominance in the US SaaS market is real, but it does not translate to Indonesian regulatory compliance and is not recognized by OJK, BI, or BSSN.</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0F766E" w:val="clear"/>
            <w:tcMar>
              <w:top w:type="dxa" w:w="120"/>
              <w:left w:type="dxa" w:w="180"/>
              <w:bottom w:type="dxa" w:w="120"/>
              <w:right w:type="dxa" w:w="180"/>
            </w:tcMar>
          </w:tcPr>
          <w:p>
            <w:r>
              <w:rPr>
                <w:rFonts w:ascii="Arial" w:cs="Arial" w:eastAsia="Arial" w:hAnsi="Arial"/>
                <w:b/>
                <w:bCs/>
                <w:color w:val="FFFFFF"/>
                <w:sz w:val="26"/>
                <w:szCs w:val="26"/>
              </w:rPr>
              <w:t xml:space="preserve">NIST Cybersecurity Framework (CSF)</w:t>
            </w:r>
          </w:p>
        </w:tc>
      </w:tr>
      <w:tr>
        <w:tc>
          <w:tcPr>
            <w:tcW w:type="dxa" w:w="9360"/>
            <w:tcBorders>
              <w:top w:val="none" w:color="FFFFFF" w:sz="0"/>
              <w:left w:val="single" w:color="E5E7EB" w:sz="1"/>
              <w:bottom w:val="single" w:color="E5E7EB" w:sz="1"/>
              <w:right w:val="single" w:color="E5E7EB" w:sz="1"/>
            </w:tcBorders>
            <w:shd w:fill="F0FDFA" w:val="clear"/>
            <w:tcMar>
              <w:top w:type="dxa" w:w="120"/>
              <w:left w:type="dxa" w:w="180"/>
              <w:bottom w:type="dxa" w:w="120"/>
              <w:right w:type="dxa" w:w="180"/>
            </w:tcMar>
          </w:tcPr>
          <w:p>
            <w:pPr>
              <w:spacing w:after="60"/>
            </w:pPr>
            <w:r>
              <w:rPr>
                <w:rFonts w:ascii="Arial" w:cs="Arial" w:eastAsia="Arial" w:hAnsi="Arial"/>
                <w:b/>
                <w:bCs/>
                <w:color w:val="0F766E"/>
                <w:sz w:val="20"/>
                <w:szCs w:val="20"/>
              </w:rPr>
              <w:t xml:space="preserve">Owner: </w:t>
            </w:r>
            <w:r>
              <w:rPr>
                <w:rFonts w:ascii="Georgia" w:cs="Georgia" w:eastAsia="Georgia" w:hAnsi="Georgia"/>
                <w:color w:val="111827"/>
                <w:sz w:val="20"/>
                <w:szCs w:val="20"/>
              </w:rPr>
              <w:t xml:space="preserve">National Institute of Standards and Technology (US Government)</w:t>
            </w:r>
          </w:p>
          <w:p>
            <w:pPr>
              <w:spacing w:after="60"/>
            </w:pPr>
            <w:r>
              <w:rPr>
                <w:rFonts w:ascii="Arial" w:cs="Arial" w:eastAsia="Arial" w:hAnsi="Arial"/>
                <w:b/>
                <w:bCs/>
                <w:color w:val="0F766E"/>
                <w:sz w:val="20"/>
                <w:szCs w:val="20"/>
              </w:rPr>
              <w:t xml:space="preserve">Type: </w:t>
            </w:r>
            <w:r>
              <w:rPr>
                <w:rFonts w:ascii="Georgia" w:cs="Georgia" w:eastAsia="Georgia" w:hAnsi="Georgia"/>
                <w:color w:val="111827"/>
                <w:sz w:val="20"/>
                <w:szCs w:val="20"/>
              </w:rPr>
              <w:t xml:space="preserve">Voluntary guidance framework for cybersecurity risk management</w:t>
            </w:r>
          </w:p>
          <w:p>
            <w:pPr>
              <w:spacing w:after="60"/>
            </w:pPr>
            <w:r>
              <w:rPr>
                <w:rFonts w:ascii="Arial" w:cs="Arial" w:eastAsia="Arial" w:hAnsi="Arial"/>
                <w:b/>
                <w:bCs/>
                <w:color w:val="0F766E"/>
                <w:sz w:val="20"/>
                <w:szCs w:val="20"/>
              </w:rPr>
              <w:t xml:space="preserve">Certification available: </w:t>
            </w:r>
            <w:r>
              <w:rPr>
                <w:rFonts w:ascii="Georgia" w:cs="Georgia" w:eastAsia="Georgia" w:hAnsi="Georgia"/>
                <w:color w:val="111827"/>
                <w:sz w:val="20"/>
                <w:szCs w:val="20"/>
              </w:rPr>
              <w:t xml:space="preserve">No certification. No attestation. Internal self-assessment only.</w:t>
            </w:r>
          </w:p>
          <w:p>
            <w:pPr>
              <w:spacing w:after="0"/>
            </w:pPr>
            <w:r>
              <w:rPr>
                <w:rFonts w:ascii="Arial" w:cs="Arial" w:eastAsia="Arial" w:hAnsi="Arial"/>
                <w:b/>
                <w:bCs/>
                <w:color w:val="0F766E"/>
                <w:sz w:val="20"/>
                <w:szCs w:val="20"/>
              </w:rPr>
              <w:t xml:space="preserve">Best for: </w:t>
            </w:r>
            <w:r>
              <w:rPr>
                <w:rFonts w:ascii="Georgia" w:cs="Georgia" w:eastAsia="Georgia" w:hAnsi="Georgia"/>
                <w:color w:val="111827"/>
                <w:sz w:val="20"/>
                <w:szCs w:val="20"/>
              </w:rPr>
              <w:t xml:space="preserve">Organizations that need a flexible, risk-based internal cybersecurity program — particularly US critical infrastructure, government contractors, and organizations wanting a common language for cybersecurity across business and technical teams.</w:t>
            </w:r>
          </w:p>
        </w:tc>
      </w:tr>
    </w:tbl>
    <w:p>
      <w:pPr>
        <w:spacing w:after="80"/>
      </w:pPr>
      <w:r>
        <w:t xml:space="preserve"/>
      </w:r>
    </w:p>
    <w:p>
      <w:pPr>
        <w:spacing w:after="160" w:line="320"/>
        <w:jc w:val="both"/>
      </w:pPr>
      <w:r>
        <w:rPr>
          <w:rFonts w:ascii="Georgia" w:cs="Georgia" w:eastAsia="Georgia" w:hAnsi="Georgia"/>
          <w:color w:val="111827"/>
          <w:sz w:val="22"/>
          <w:szCs w:val="22"/>
        </w:rPr>
        <w:t xml:space="preserve">NIST CSF version 2.0 (released February 2024) is structured around six functions: Govern, Identify, Protect, Detect, Respond, and Recover. It is deliberately non-prescriptive — it provides a framework for thinking about and organizing cybersecurity activities, not a compliance requirement. There is no certification, no auditor, and no external verification. Its strength is its clarity and its broad adoption as a common vocabulary. Its limitation is that using it produces no externally verifiable proof of anything. It is best used as an internal program organizer, not a market signal.</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B45309" w:val="clear"/>
            <w:tcMar>
              <w:top w:type="dxa" w:w="120"/>
              <w:left w:type="dxa" w:w="180"/>
              <w:bottom w:type="dxa" w:w="120"/>
              <w:right w:type="dxa" w:w="180"/>
            </w:tcMar>
          </w:tcPr>
          <w:p>
            <w:r>
              <w:rPr>
                <w:rFonts w:ascii="Arial" w:cs="Arial" w:eastAsia="Arial" w:hAnsi="Arial"/>
                <w:b/>
                <w:bCs/>
                <w:color w:val="FFFFFF"/>
                <w:sz w:val="26"/>
                <w:szCs w:val="26"/>
              </w:rPr>
              <w:t xml:space="preserve">CIS Controls (v8)</w:t>
            </w:r>
          </w:p>
        </w:tc>
      </w:tr>
      <w:tr>
        <w:tc>
          <w:tcPr>
            <w:tcW w:type="dxa" w:w="9360"/>
            <w:tcBorders>
              <w:top w:val="none" w:color="FFFFFF" w:sz="0"/>
              <w:left w:val="single" w:color="E5E7EB" w:sz="1"/>
              <w:bottom w:val="single" w:color="E5E7EB" w:sz="1"/>
              <w:right w:val="single" w:color="E5E7EB" w:sz="1"/>
            </w:tcBorders>
            <w:shd w:fill="FFFBEB" w:val="clear"/>
            <w:tcMar>
              <w:top w:type="dxa" w:w="120"/>
              <w:left w:type="dxa" w:w="180"/>
              <w:bottom w:type="dxa" w:w="120"/>
              <w:right w:type="dxa" w:w="180"/>
            </w:tcMar>
          </w:tcPr>
          <w:p>
            <w:pPr>
              <w:spacing w:after="60"/>
            </w:pPr>
            <w:r>
              <w:rPr>
                <w:rFonts w:ascii="Arial" w:cs="Arial" w:eastAsia="Arial" w:hAnsi="Arial"/>
                <w:b/>
                <w:bCs/>
                <w:color w:val="B45309"/>
                <w:sz w:val="20"/>
                <w:szCs w:val="20"/>
              </w:rPr>
              <w:t xml:space="preserve">Owner: </w:t>
            </w:r>
            <w:r>
              <w:rPr>
                <w:rFonts w:ascii="Georgia" w:cs="Georgia" w:eastAsia="Georgia" w:hAnsi="Georgia"/>
                <w:color w:val="111827"/>
                <w:sz w:val="20"/>
                <w:szCs w:val="20"/>
              </w:rPr>
              <w:t xml:space="preserve">Center for Internet Security (non-profit)</w:t>
            </w:r>
          </w:p>
          <w:p>
            <w:pPr>
              <w:spacing w:after="60"/>
            </w:pPr>
            <w:r>
              <w:rPr>
                <w:rFonts w:ascii="Arial" w:cs="Arial" w:eastAsia="Arial" w:hAnsi="Arial"/>
                <w:b/>
                <w:bCs/>
                <w:color w:val="B45309"/>
                <w:sz w:val="20"/>
                <w:szCs w:val="20"/>
              </w:rPr>
              <w:t xml:space="preserve">Type: </w:t>
            </w:r>
            <w:r>
              <w:rPr>
                <w:rFonts w:ascii="Georgia" w:cs="Georgia" w:eastAsia="Georgia" w:hAnsi="Georgia"/>
                <w:color w:val="111827"/>
                <w:sz w:val="20"/>
                <w:szCs w:val="20"/>
              </w:rPr>
              <w:t xml:space="preserve">Prescriptive, prioritized technical security controls</w:t>
            </w:r>
          </w:p>
          <w:p>
            <w:pPr>
              <w:spacing w:after="60"/>
            </w:pPr>
            <w:r>
              <w:rPr>
                <w:rFonts w:ascii="Arial" w:cs="Arial" w:eastAsia="Arial" w:hAnsi="Arial"/>
                <w:b/>
                <w:bCs/>
                <w:color w:val="B45309"/>
                <w:sz w:val="20"/>
                <w:szCs w:val="20"/>
              </w:rPr>
              <w:t xml:space="preserve">Certification available: </w:t>
            </w:r>
            <w:r>
              <w:rPr>
                <w:rFonts w:ascii="Georgia" w:cs="Georgia" w:eastAsia="Georgia" w:hAnsi="Georgia"/>
                <w:color w:val="111827"/>
                <w:sz w:val="20"/>
                <w:szCs w:val="20"/>
              </w:rPr>
              <w:t xml:space="preserve">No certification. CIS-CAT tool for self-assessment. Implementation Groups for tiered adoption.</w:t>
            </w:r>
          </w:p>
          <w:p>
            <w:pPr>
              <w:spacing w:after="0"/>
            </w:pPr>
            <w:r>
              <w:rPr>
                <w:rFonts w:ascii="Arial" w:cs="Arial" w:eastAsia="Arial" w:hAnsi="Arial"/>
                <w:b/>
                <w:bCs/>
                <w:color w:val="B45309"/>
                <w:sz w:val="20"/>
                <w:szCs w:val="20"/>
              </w:rPr>
              <w:t xml:space="preserve">Best for: </w:t>
            </w:r>
            <w:r>
              <w:rPr>
                <w:rFonts w:ascii="Georgia" w:cs="Georgia" w:eastAsia="Georgia" w:hAnsi="Georgia"/>
                <w:color w:val="111827"/>
                <w:sz w:val="20"/>
                <w:szCs w:val="20"/>
              </w:rPr>
              <w:t xml:space="preserve">Organizations that want a specific, prioritized list of technical controls — particularly those with limited resources who need to know exactly what to implement first for maximum risk reduction.</w:t>
            </w:r>
          </w:p>
        </w:tc>
      </w:tr>
    </w:tbl>
    <w:p>
      <w:pPr>
        <w:spacing w:after="80"/>
      </w:pPr>
      <w:r>
        <w:t xml:space="preserve"/>
      </w:r>
    </w:p>
    <w:p>
      <w:pPr>
        <w:spacing w:after="160" w:line="320"/>
        <w:jc w:val="both"/>
      </w:pPr>
      <w:r>
        <w:rPr>
          <w:rFonts w:ascii="Georgia" w:cs="Georgia" w:eastAsia="Georgia" w:hAnsi="Georgia"/>
          <w:color w:val="111827"/>
          <w:sz w:val="22"/>
          <w:szCs w:val="22"/>
        </w:rPr>
        <w:t xml:space="preserve">CIS Controls v8 contains 18 control groups and 153 safeguards, organized into three Implementation Groups based on organizational maturity and resources. Unlike ISO 27001, CIS Controls are prescriptive — they tell you what to do, not how to build a management system for deciding what to do. Implementation Group 1 covers the most basic, high-impact controls that every organization should have. Groups 2 and 3 add progressively more sophisticated controls. CIS Controls is perhaps the most practically useful framework for a technical team that wants a shopping list of what to implement — but it produces no certification and has no regulatory recognition in Indonesia.</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9F1239" w:val="clear"/>
            <w:tcMar>
              <w:top w:type="dxa" w:w="120"/>
              <w:left w:type="dxa" w:w="180"/>
              <w:bottom w:type="dxa" w:w="120"/>
              <w:right w:type="dxa" w:w="180"/>
            </w:tcMar>
          </w:tcPr>
          <w:p>
            <w:r>
              <w:rPr>
                <w:rFonts w:ascii="Arial" w:cs="Arial" w:eastAsia="Arial" w:hAnsi="Arial"/>
                <w:b/>
                <w:bCs/>
                <w:color w:val="FFFFFF"/>
                <w:sz w:val="26"/>
                <w:szCs w:val="26"/>
              </w:rPr>
              <w:t xml:space="preserve">COBIT (Control Objectives for Information and Related Technologies)</w:t>
            </w:r>
          </w:p>
        </w:tc>
      </w:tr>
      <w:tr>
        <w:tc>
          <w:tcPr>
            <w:tcW w:type="dxa" w:w="9360"/>
            <w:tcBorders>
              <w:top w:val="none" w:color="FFFFFF" w:sz="0"/>
              <w:left w:val="single" w:color="E5E7EB" w:sz="1"/>
              <w:bottom w:val="single" w:color="E5E7EB" w:sz="1"/>
              <w:right w:val="single" w:color="E5E7EB" w:sz="1"/>
            </w:tcBorders>
            <w:shd w:fill="FFF1F2" w:val="clear"/>
            <w:tcMar>
              <w:top w:type="dxa" w:w="120"/>
              <w:left w:type="dxa" w:w="180"/>
              <w:bottom w:type="dxa" w:w="120"/>
              <w:right w:type="dxa" w:w="180"/>
            </w:tcMar>
          </w:tcPr>
          <w:p>
            <w:pPr>
              <w:spacing w:after="60"/>
            </w:pPr>
            <w:r>
              <w:rPr>
                <w:rFonts w:ascii="Arial" w:cs="Arial" w:eastAsia="Arial" w:hAnsi="Arial"/>
                <w:b/>
                <w:bCs/>
                <w:color w:val="9F1239"/>
                <w:sz w:val="20"/>
                <w:szCs w:val="20"/>
              </w:rPr>
              <w:t xml:space="preserve">Owner: </w:t>
            </w:r>
            <w:r>
              <w:rPr>
                <w:rFonts w:ascii="Georgia" w:cs="Georgia" w:eastAsia="Georgia" w:hAnsi="Georgia"/>
                <w:color w:val="111827"/>
                <w:sz w:val="20"/>
                <w:szCs w:val="20"/>
              </w:rPr>
              <w:t xml:space="preserve">ISACA (global IT governance professional association)</w:t>
            </w:r>
          </w:p>
          <w:p>
            <w:pPr>
              <w:spacing w:after="60"/>
            </w:pPr>
            <w:r>
              <w:rPr>
                <w:rFonts w:ascii="Arial" w:cs="Arial" w:eastAsia="Arial" w:hAnsi="Arial"/>
                <w:b/>
                <w:bCs/>
                <w:color w:val="9F1239"/>
                <w:sz w:val="20"/>
                <w:szCs w:val="20"/>
              </w:rPr>
              <w:t xml:space="preserve">Type: </w:t>
            </w:r>
            <w:r>
              <w:rPr>
                <w:rFonts w:ascii="Georgia" w:cs="Georgia" w:eastAsia="Georgia" w:hAnsi="Georgia"/>
                <w:color w:val="111827"/>
                <w:sz w:val="20"/>
                <w:szCs w:val="20"/>
              </w:rPr>
              <w:t xml:space="preserve">Enterprise IT governance and management framework</w:t>
            </w:r>
          </w:p>
          <w:p>
            <w:pPr>
              <w:spacing w:after="60"/>
            </w:pPr>
            <w:r>
              <w:rPr>
                <w:rFonts w:ascii="Arial" w:cs="Arial" w:eastAsia="Arial" w:hAnsi="Arial"/>
                <w:b/>
                <w:bCs/>
                <w:color w:val="9F1239"/>
                <w:sz w:val="20"/>
                <w:szCs w:val="20"/>
              </w:rPr>
              <w:t xml:space="preserve">Certification available: </w:t>
            </w:r>
            <w:r>
              <w:rPr>
                <w:rFonts w:ascii="Georgia" w:cs="Georgia" w:eastAsia="Georgia" w:hAnsi="Georgia"/>
                <w:color w:val="111827"/>
                <w:sz w:val="20"/>
                <w:szCs w:val="20"/>
              </w:rPr>
              <w:t xml:space="preserve">Partial — ISACA offers COBIT practitioner certification for individuals. No organizational certification equivalent to ISO 27001.</w:t>
            </w:r>
          </w:p>
          <w:p>
            <w:pPr>
              <w:spacing w:after="0"/>
            </w:pPr>
            <w:r>
              <w:rPr>
                <w:rFonts w:ascii="Arial" w:cs="Arial" w:eastAsia="Arial" w:hAnsi="Arial"/>
                <w:b/>
                <w:bCs/>
                <w:color w:val="9F1239"/>
                <w:sz w:val="20"/>
                <w:szCs w:val="20"/>
              </w:rPr>
              <w:t xml:space="preserve">Best for: </w:t>
            </w:r>
            <w:r>
              <w:rPr>
                <w:rFonts w:ascii="Georgia" w:cs="Georgia" w:eastAsia="Georgia" w:hAnsi="Georgia"/>
                <w:color w:val="111827"/>
                <w:sz w:val="20"/>
                <w:szCs w:val="20"/>
              </w:rPr>
              <w:t xml:space="preserve">Large enterprises, financial institutions, and organizations subject to IT audit requirements — particularly those where IT governance, board oversight, and alignment with business objectives are the primary concern.</w:t>
            </w:r>
          </w:p>
        </w:tc>
      </w:tr>
    </w:tbl>
    <w:p>
      <w:pPr>
        <w:spacing w:after="80"/>
      </w:pPr>
      <w:r>
        <w:t xml:space="preserve"/>
      </w:r>
    </w:p>
    <w:p>
      <w:pPr>
        <w:spacing w:after="160" w:line="320"/>
        <w:jc w:val="both"/>
      </w:pPr>
      <w:r>
        <w:rPr>
          <w:rFonts w:ascii="Georgia" w:cs="Georgia" w:eastAsia="Georgia" w:hAnsi="Georgia"/>
          <w:color w:val="111827"/>
          <w:sz w:val="22"/>
          <w:szCs w:val="22"/>
        </w:rPr>
        <w:t xml:space="preserve">COBIT is fundamentally a governance framework, not a security framework. It defines how IT should be governed and managed at an enterprise level — covering strategy, risk, compliance, and performance management across all IT activities. Information security is one domain within COBIT, not its primary focus. COBIT 2019 is large, complex, and most appropriately deployed in mature enterprise environments with dedicated IT governance functions. Indonesia's OJK references COBIT principles indirectly in its IT governance regulations for financial institutions, making it relevant for large Indonesian banks — but for most organizations, ISO 27001 covers the security governance requirements more efficiently.</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Master Comparison: Five Frameworks Side by Side</w:t>
      </w:r>
    </w:p>
    <w:p>
      <w:pPr>
        <w:spacing w:after="80"/>
      </w:pPr>
      <w:r>
        <w:t xml:space="preserve"/>
      </w:r>
    </w:p>
    <w:p>
      <w:pPr>
        <w:spacing w:after="160" w:line="320"/>
        <w:jc w:val="both"/>
      </w:pPr>
      <w:r>
        <w:rPr>
          <w:rFonts w:ascii="Georgia" w:cs="Georgia" w:eastAsia="Georgia" w:hAnsi="Georgia"/>
          <w:color w:val="111827"/>
          <w:sz w:val="22"/>
          <w:szCs w:val="22"/>
        </w:rPr>
        <w:t xml:space="preserve">With each framework understood on its own terms, the comparison becomes clearer. The table below maps all five across the criteria that matter most for organizations making a framework selection decision: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00"/>
        <w:gridCol w:w="1380"/>
        <w:gridCol w:w="1380"/>
        <w:gridCol w:w="1380"/>
        <w:gridCol w:w="1380"/>
        <w:gridCol w:w="1740"/>
      </w:tblGrid>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Criteria</w:t>
            </w:r>
          </w:p>
        </w:tc>
        <w:tc>
          <w:tcPr>
            <w:tcW w:type="dxa" w:w="1380"/>
            <w:tcBorders>
              <w:top w:val="single" w:color="DBEAFE" w:sz="1"/>
              <w:left w:val="single" w:color="DBEAFE" w:sz="1"/>
              <w:bottom w:val="single" w:color="DBEAFE" w:sz="1"/>
              <w:right w:val="single" w:color="DBEAFE" w:sz="1"/>
            </w:tcBorders>
            <w:shd w:fill="2563A8" w:val="clear"/>
            <w:tcMar>
              <w:top w:type="dxa" w:w="90"/>
              <w:left w:type="dxa" w:w="110"/>
              <w:bottom w:type="dxa" w:w="90"/>
              <w:right w:type="dxa" w:w="110"/>
            </w:tcMar>
          </w:tcPr>
          <w:p>
            <w:pPr>
              <w:jc w:val="center"/>
            </w:pPr>
            <w:r>
              <w:rPr>
                <w:rFonts w:ascii="Arial" w:cs="Arial" w:eastAsia="Arial" w:hAnsi="Arial"/>
                <w:b/>
                <w:bCs/>
                <w:color w:val="FFFFFF"/>
                <w:sz w:val="19"/>
                <w:szCs w:val="19"/>
              </w:rPr>
              <w:t xml:space="preserve">ISO 27001</w:t>
            </w:r>
          </w:p>
        </w:tc>
        <w:tc>
          <w:tcPr>
            <w:tcW w:type="dxa" w:w="1380"/>
            <w:tcBorders>
              <w:top w:val="single" w:color="DBEAFE" w:sz="1"/>
              <w:left w:val="single" w:color="DBEAFE" w:sz="1"/>
              <w:bottom w:val="single" w:color="DBEAFE" w:sz="1"/>
              <w:right w:val="single" w:color="DBEAFE" w:sz="1"/>
            </w:tcBorders>
            <w:shd w:fill="7C3AED" w:val="clear"/>
            <w:tcMar>
              <w:top w:type="dxa" w:w="90"/>
              <w:left w:type="dxa" w:w="110"/>
              <w:bottom w:type="dxa" w:w="90"/>
              <w:right w:type="dxa" w:w="110"/>
            </w:tcMar>
          </w:tcPr>
          <w:p>
            <w:pPr>
              <w:jc w:val="center"/>
            </w:pPr>
            <w:r>
              <w:rPr>
                <w:rFonts w:ascii="Arial" w:cs="Arial" w:eastAsia="Arial" w:hAnsi="Arial"/>
                <w:b/>
                <w:bCs/>
                <w:color w:val="FFFFFF"/>
                <w:sz w:val="19"/>
                <w:szCs w:val="19"/>
              </w:rPr>
              <w:t xml:space="preserve">SOC 2</w:t>
            </w:r>
          </w:p>
        </w:tc>
        <w:tc>
          <w:tcPr>
            <w:tcW w:type="dxa" w:w="1380"/>
            <w:tcBorders>
              <w:top w:val="single" w:color="DBEAFE" w:sz="1"/>
              <w:left w:val="single" w:color="DBEAFE" w:sz="1"/>
              <w:bottom w:val="single" w:color="DBEAFE" w:sz="1"/>
              <w:right w:val="single" w:color="DBEAFE" w:sz="1"/>
            </w:tcBorders>
            <w:shd w:fill="0F766E" w:val="clear"/>
            <w:tcMar>
              <w:top w:type="dxa" w:w="90"/>
              <w:left w:type="dxa" w:w="110"/>
              <w:bottom w:type="dxa" w:w="90"/>
              <w:right w:type="dxa" w:w="110"/>
            </w:tcMar>
          </w:tcPr>
          <w:p>
            <w:pPr>
              <w:jc w:val="center"/>
            </w:pPr>
            <w:r>
              <w:rPr>
                <w:rFonts w:ascii="Arial" w:cs="Arial" w:eastAsia="Arial" w:hAnsi="Arial"/>
                <w:b/>
                <w:bCs/>
                <w:color w:val="FFFFFF"/>
                <w:sz w:val="19"/>
                <w:szCs w:val="19"/>
              </w:rPr>
              <w:t xml:space="preserve">NIST CSF</w:t>
            </w:r>
          </w:p>
        </w:tc>
        <w:tc>
          <w:tcPr>
            <w:tcW w:type="dxa" w:w="1380"/>
            <w:tcBorders>
              <w:top w:val="single" w:color="DBEAFE" w:sz="1"/>
              <w:left w:val="single" w:color="DBEAFE" w:sz="1"/>
              <w:bottom w:val="single" w:color="DBEAFE" w:sz="1"/>
              <w:right w:val="single" w:color="DBEAFE" w:sz="1"/>
            </w:tcBorders>
            <w:shd w:fill="B45309" w:val="clear"/>
            <w:tcMar>
              <w:top w:type="dxa" w:w="90"/>
              <w:left w:type="dxa" w:w="110"/>
              <w:bottom w:type="dxa" w:w="90"/>
              <w:right w:type="dxa" w:w="110"/>
            </w:tcMar>
          </w:tcPr>
          <w:p>
            <w:pPr>
              <w:jc w:val="center"/>
            </w:pPr>
            <w:r>
              <w:rPr>
                <w:rFonts w:ascii="Arial" w:cs="Arial" w:eastAsia="Arial" w:hAnsi="Arial"/>
                <w:b/>
                <w:bCs/>
                <w:color w:val="FFFFFF"/>
                <w:sz w:val="19"/>
                <w:szCs w:val="19"/>
              </w:rPr>
              <w:t xml:space="preserve">CIS Controls</w:t>
            </w:r>
          </w:p>
        </w:tc>
        <w:tc>
          <w:tcPr>
            <w:tcW w:type="dxa" w:w="1740"/>
            <w:tcBorders>
              <w:top w:val="single" w:color="DBEAFE" w:sz="1"/>
              <w:left w:val="single" w:color="DBEAFE" w:sz="1"/>
              <w:bottom w:val="single" w:color="DBEAFE" w:sz="1"/>
              <w:right w:val="single" w:color="DBEAFE" w:sz="1"/>
            </w:tcBorders>
            <w:shd w:fill="9F1239" w:val="clear"/>
            <w:tcMar>
              <w:top w:type="dxa" w:w="90"/>
              <w:left w:type="dxa" w:w="110"/>
              <w:bottom w:type="dxa" w:w="90"/>
              <w:right w:type="dxa" w:w="110"/>
            </w:tcMar>
          </w:tcPr>
          <w:p>
            <w:pPr>
              <w:jc w:val="center"/>
            </w:pPr>
            <w:r>
              <w:rPr>
                <w:rFonts w:ascii="Arial" w:cs="Arial" w:eastAsia="Arial" w:hAnsi="Arial"/>
                <w:b/>
                <w:bCs/>
                <w:color w:val="FFFFFF"/>
                <w:sz w:val="19"/>
                <w:szCs w:val="19"/>
              </w:rPr>
              <w:t xml:space="preserve">COBIT</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Governing body</w:t>
            </w:r>
          </w:p>
        </w:tc>
        <w:tc>
          <w:tcPr>
            <w:tcW w:type="dxa" w:w="13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ISO / IEC</w:t>
            </w:r>
          </w:p>
        </w:tc>
        <w:tc>
          <w:tcPr>
            <w:tcW w:type="dxa" w:w="1380"/>
            <w:tcBorders>
              <w:top w:val="single" w:color="DBEAFE" w:sz="1"/>
              <w:left w:val="single" w:color="DBEAFE" w:sz="1"/>
              <w:bottom w:val="single" w:color="DBEAFE" w:sz="1"/>
              <w:right w:val="single" w:color="DBEAFE" w:sz="1"/>
            </w:tcBorders>
            <w:shd w:fill="F5F3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AICPA (US)</w:t>
            </w:r>
          </w:p>
        </w:tc>
        <w:tc>
          <w:tcPr>
            <w:tcW w:type="dxa" w:w="1380"/>
            <w:tcBorders>
              <w:top w:val="single" w:color="DBEAFE" w:sz="1"/>
              <w:left w:val="single" w:color="DBEAFE" w:sz="1"/>
              <w:bottom w:val="single" w:color="DBEAFE" w:sz="1"/>
              <w:right w:val="single" w:color="DBEAFE" w:sz="1"/>
            </w:tcBorders>
            <w:shd w:fill="F0FDFA"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NIST (US Gov)</w:t>
            </w:r>
          </w:p>
        </w:tc>
        <w:tc>
          <w:tcPr>
            <w:tcW w:type="dxa" w:w="13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CIS (non-profit)</w:t>
            </w:r>
          </w:p>
        </w:tc>
        <w:tc>
          <w:tcPr>
            <w:tcW w:type="dxa" w:w="1740"/>
            <w:tcBorders>
              <w:top w:val="single" w:color="DBEAFE" w:sz="1"/>
              <w:left w:val="single" w:color="DBEAFE" w:sz="1"/>
              <w:bottom w:val="single" w:color="DBEAFE" w:sz="1"/>
              <w:right w:val="single" w:color="DBEAFE" w:sz="1"/>
            </w:tcBorders>
            <w:shd w:fill="FFF1F2"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ISACA (global)</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Certifiable?</w:t>
            </w:r>
          </w:p>
        </w:tc>
        <w:tc>
          <w:tcPr>
            <w:tcW w:type="dxa" w:w="13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Yes — 3rd party cert</w:t>
            </w:r>
          </w:p>
        </w:tc>
        <w:tc>
          <w:tcPr>
            <w:tcW w:type="dxa" w:w="1380"/>
            <w:tcBorders>
              <w:top w:val="single" w:color="DBEAFE" w:sz="1"/>
              <w:left w:val="single" w:color="DBEAFE" w:sz="1"/>
              <w:bottom w:val="single" w:color="DBEAFE" w:sz="1"/>
              <w:right w:val="single" w:color="DBEAFE" w:sz="1"/>
            </w:tcBorders>
            <w:shd w:fill="FAF8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Attestation only</w:t>
            </w:r>
          </w:p>
        </w:tc>
        <w:tc>
          <w:tcPr>
            <w:tcW w:type="dxa" w:w="1380"/>
            <w:tcBorders>
              <w:top w:val="single" w:color="DBEAFE" w:sz="1"/>
              <w:left w:val="single" w:color="DBEAFE" w:sz="1"/>
              <w:bottom w:val="single" w:color="DBEAFE" w:sz="1"/>
              <w:right w:val="single" w:color="DBEAFE" w:sz="1"/>
            </w:tcBorders>
            <w:shd w:fill="F5FFFE"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No certification</w:t>
            </w:r>
          </w:p>
        </w:tc>
        <w:tc>
          <w:tcPr>
            <w:tcW w:type="dxa" w:w="138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No certification</w:t>
            </w:r>
          </w:p>
        </w:tc>
        <w:tc>
          <w:tcPr>
            <w:tcW w:type="dxa" w:w="1740"/>
            <w:tcBorders>
              <w:top w:val="single" w:color="DBEAFE" w:sz="1"/>
              <w:left w:val="single" w:color="DBEAFE" w:sz="1"/>
              <w:bottom w:val="single" w:color="DBEAFE" w:sz="1"/>
              <w:right w:val="single" w:color="DBEAFE" w:sz="1"/>
            </w:tcBorders>
            <w:shd w:fill="FFF8F8"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Partial (COBIT cert)</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International reach</w:t>
            </w:r>
          </w:p>
        </w:tc>
        <w:tc>
          <w:tcPr>
            <w:tcW w:type="dxa" w:w="13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Global standard</w:t>
            </w:r>
          </w:p>
        </w:tc>
        <w:tc>
          <w:tcPr>
            <w:tcW w:type="dxa" w:w="1380"/>
            <w:tcBorders>
              <w:top w:val="single" w:color="DBEAFE" w:sz="1"/>
              <w:left w:val="single" w:color="DBEAFE" w:sz="1"/>
              <w:bottom w:val="single" w:color="DBEAFE" w:sz="1"/>
              <w:right w:val="single" w:color="DBEAFE" w:sz="1"/>
            </w:tcBorders>
            <w:shd w:fill="F5F3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US-centric</w:t>
            </w:r>
          </w:p>
        </w:tc>
        <w:tc>
          <w:tcPr>
            <w:tcW w:type="dxa" w:w="1380"/>
            <w:tcBorders>
              <w:top w:val="single" w:color="DBEAFE" w:sz="1"/>
              <w:left w:val="single" w:color="DBEAFE" w:sz="1"/>
              <w:bottom w:val="single" w:color="DBEAFE" w:sz="1"/>
              <w:right w:val="single" w:color="DBEAFE" w:sz="1"/>
            </w:tcBorders>
            <w:shd w:fill="F0FDFA"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Widely referenced</w:t>
            </w:r>
          </w:p>
        </w:tc>
        <w:tc>
          <w:tcPr>
            <w:tcW w:type="dxa" w:w="13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Widely referenced</w:t>
            </w:r>
          </w:p>
        </w:tc>
        <w:tc>
          <w:tcPr>
            <w:tcW w:type="dxa" w:w="1740"/>
            <w:tcBorders>
              <w:top w:val="single" w:color="DBEAFE" w:sz="1"/>
              <w:left w:val="single" w:color="DBEAFE" w:sz="1"/>
              <w:bottom w:val="single" w:color="DBEAFE" w:sz="1"/>
              <w:right w:val="single" w:color="DBEAFE" w:sz="1"/>
            </w:tcBorders>
            <w:shd w:fill="FFF1F2"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Global, IT-focused</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Regulatory recognition (ID)</w:t>
            </w:r>
          </w:p>
        </w:tc>
        <w:tc>
          <w:tcPr>
            <w:tcW w:type="dxa" w:w="13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High — UU PDP, POJK, PBI, BSSN</w:t>
            </w:r>
          </w:p>
        </w:tc>
        <w:tc>
          <w:tcPr>
            <w:tcW w:type="dxa" w:w="1380"/>
            <w:tcBorders>
              <w:top w:val="single" w:color="DBEAFE" w:sz="1"/>
              <w:left w:val="single" w:color="DBEAFE" w:sz="1"/>
              <w:bottom w:val="single" w:color="DBEAFE" w:sz="1"/>
              <w:right w:val="single" w:color="DBEAFE" w:sz="1"/>
            </w:tcBorders>
            <w:shd w:fill="FAF8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Not referenced</w:t>
            </w:r>
          </w:p>
        </w:tc>
        <w:tc>
          <w:tcPr>
            <w:tcW w:type="dxa" w:w="1380"/>
            <w:tcBorders>
              <w:top w:val="single" w:color="DBEAFE" w:sz="1"/>
              <w:left w:val="single" w:color="DBEAFE" w:sz="1"/>
              <w:bottom w:val="single" w:color="DBEAFE" w:sz="1"/>
              <w:right w:val="single" w:color="DBEAFE" w:sz="1"/>
            </w:tcBorders>
            <w:shd w:fill="F5FFFE"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Not referenced</w:t>
            </w:r>
          </w:p>
        </w:tc>
        <w:tc>
          <w:tcPr>
            <w:tcW w:type="dxa" w:w="138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Not referenced</w:t>
            </w:r>
          </w:p>
        </w:tc>
        <w:tc>
          <w:tcPr>
            <w:tcW w:type="dxa" w:w="1740"/>
            <w:tcBorders>
              <w:top w:val="single" w:color="DBEAFE" w:sz="1"/>
              <w:left w:val="single" w:color="DBEAFE" w:sz="1"/>
              <w:bottom w:val="single" w:color="DBEAFE" w:sz="1"/>
              <w:right w:val="single" w:color="DBEAFE" w:sz="1"/>
            </w:tcBorders>
            <w:shd w:fill="FFF8F8"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Partial — COBIT in POJK</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Risk-based approach</w:t>
            </w:r>
          </w:p>
        </w:tc>
        <w:tc>
          <w:tcPr>
            <w:tcW w:type="dxa" w:w="13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Core requirement</w:t>
            </w:r>
          </w:p>
        </w:tc>
        <w:tc>
          <w:tcPr>
            <w:tcW w:type="dxa" w:w="1380"/>
            <w:tcBorders>
              <w:top w:val="single" w:color="DBEAFE" w:sz="1"/>
              <w:left w:val="single" w:color="DBEAFE" w:sz="1"/>
              <w:bottom w:val="single" w:color="DBEAFE" w:sz="1"/>
              <w:right w:val="single" w:color="DBEAFE" w:sz="1"/>
            </w:tcBorders>
            <w:shd w:fill="F5F3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Trust criteria-based</w:t>
            </w:r>
          </w:p>
        </w:tc>
        <w:tc>
          <w:tcPr>
            <w:tcW w:type="dxa" w:w="1380"/>
            <w:tcBorders>
              <w:top w:val="single" w:color="DBEAFE" w:sz="1"/>
              <w:left w:val="single" w:color="DBEAFE" w:sz="1"/>
              <w:bottom w:val="single" w:color="DBEAFE" w:sz="1"/>
              <w:right w:val="single" w:color="DBEAFE" w:sz="1"/>
            </w:tcBorders>
            <w:shd w:fill="F0FDFA"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Core requirement</w:t>
            </w:r>
          </w:p>
        </w:tc>
        <w:tc>
          <w:tcPr>
            <w:tcW w:type="dxa" w:w="13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Prescriptive controls</w:t>
            </w:r>
          </w:p>
        </w:tc>
        <w:tc>
          <w:tcPr>
            <w:tcW w:type="dxa" w:w="1740"/>
            <w:tcBorders>
              <w:top w:val="single" w:color="DBEAFE" w:sz="1"/>
              <w:left w:val="single" w:color="DBEAFE" w:sz="1"/>
              <w:bottom w:val="single" w:color="DBEAFE" w:sz="1"/>
              <w:right w:val="single" w:color="DBEAFE" w:sz="1"/>
            </w:tcBorders>
            <w:shd w:fill="FFF1F2"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Governance-focused</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Primary focus</w:t>
            </w:r>
          </w:p>
        </w:tc>
        <w:tc>
          <w:tcPr>
            <w:tcW w:type="dxa" w:w="13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ISMS governance</w:t>
            </w:r>
          </w:p>
        </w:tc>
        <w:tc>
          <w:tcPr>
            <w:tcW w:type="dxa" w:w="1380"/>
            <w:tcBorders>
              <w:top w:val="single" w:color="DBEAFE" w:sz="1"/>
              <w:left w:val="single" w:color="DBEAFE" w:sz="1"/>
              <w:bottom w:val="single" w:color="DBEAFE" w:sz="1"/>
              <w:right w:val="single" w:color="DBEAFE" w:sz="1"/>
            </w:tcBorders>
            <w:shd w:fill="FAF8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Service trust (SaaS)</w:t>
            </w:r>
          </w:p>
        </w:tc>
        <w:tc>
          <w:tcPr>
            <w:tcW w:type="dxa" w:w="1380"/>
            <w:tcBorders>
              <w:top w:val="single" w:color="DBEAFE" w:sz="1"/>
              <w:left w:val="single" w:color="DBEAFE" w:sz="1"/>
              <w:bottom w:val="single" w:color="DBEAFE" w:sz="1"/>
              <w:right w:val="single" w:color="DBEAFE" w:sz="1"/>
            </w:tcBorders>
            <w:shd w:fill="F5FFFE"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Cyber risk mgmt</w:t>
            </w:r>
          </w:p>
        </w:tc>
        <w:tc>
          <w:tcPr>
            <w:tcW w:type="dxa" w:w="138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Technical controls</w:t>
            </w:r>
          </w:p>
        </w:tc>
        <w:tc>
          <w:tcPr>
            <w:tcW w:type="dxa" w:w="1740"/>
            <w:tcBorders>
              <w:top w:val="single" w:color="DBEAFE" w:sz="1"/>
              <w:left w:val="single" w:color="DBEAFE" w:sz="1"/>
              <w:bottom w:val="single" w:color="DBEAFE" w:sz="1"/>
              <w:right w:val="single" w:color="DBEAFE" w:sz="1"/>
            </w:tcBorders>
            <w:shd w:fill="FFF8F8"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IT governance &amp; audit</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Implementation effort</w:t>
            </w:r>
          </w:p>
        </w:tc>
        <w:tc>
          <w:tcPr>
            <w:tcW w:type="dxa" w:w="13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High — full ISMS</w:t>
            </w:r>
          </w:p>
        </w:tc>
        <w:tc>
          <w:tcPr>
            <w:tcW w:type="dxa" w:w="1380"/>
            <w:tcBorders>
              <w:top w:val="single" w:color="DBEAFE" w:sz="1"/>
              <w:left w:val="single" w:color="DBEAFE" w:sz="1"/>
              <w:bottom w:val="single" w:color="DBEAFE" w:sz="1"/>
              <w:right w:val="single" w:color="DBEAFE" w:sz="1"/>
            </w:tcBorders>
            <w:shd w:fill="F5F3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Medium-High</w:t>
            </w:r>
          </w:p>
        </w:tc>
        <w:tc>
          <w:tcPr>
            <w:tcW w:type="dxa" w:w="1380"/>
            <w:tcBorders>
              <w:top w:val="single" w:color="DBEAFE" w:sz="1"/>
              <w:left w:val="single" w:color="DBEAFE" w:sz="1"/>
              <w:bottom w:val="single" w:color="DBEAFE" w:sz="1"/>
              <w:right w:val="single" w:color="DBEAFE" w:sz="1"/>
            </w:tcBorders>
            <w:shd w:fill="F0FDFA"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Medium — adaptable</w:t>
            </w:r>
          </w:p>
        </w:tc>
        <w:tc>
          <w:tcPr>
            <w:tcW w:type="dxa" w:w="13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Medium — prescriptive</w:t>
            </w:r>
          </w:p>
        </w:tc>
        <w:tc>
          <w:tcPr>
            <w:tcW w:type="dxa" w:w="1740"/>
            <w:tcBorders>
              <w:top w:val="single" w:color="DBEAFE" w:sz="1"/>
              <w:left w:val="single" w:color="DBEAFE" w:sz="1"/>
              <w:bottom w:val="single" w:color="DBEAFE" w:sz="1"/>
              <w:right w:val="single" w:color="DBEAFE" w:sz="1"/>
            </w:tcBorders>
            <w:shd w:fill="FFF1F2"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High — enterprise</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SME suitability</w:t>
            </w:r>
          </w:p>
        </w:tc>
        <w:tc>
          <w:tcPr>
            <w:tcW w:type="dxa" w:w="13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Yes — scalable scope</w:t>
            </w:r>
          </w:p>
        </w:tc>
        <w:tc>
          <w:tcPr>
            <w:tcW w:type="dxa" w:w="1380"/>
            <w:tcBorders>
              <w:top w:val="single" w:color="DBEAFE" w:sz="1"/>
              <w:left w:val="single" w:color="DBEAFE" w:sz="1"/>
              <w:bottom w:val="single" w:color="DBEAFE" w:sz="1"/>
              <w:right w:val="single" w:color="DBEAFE" w:sz="1"/>
            </w:tcBorders>
            <w:shd w:fill="FAF8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Yes — SaaS focus</w:t>
            </w:r>
          </w:p>
        </w:tc>
        <w:tc>
          <w:tcPr>
            <w:tcW w:type="dxa" w:w="1380"/>
            <w:tcBorders>
              <w:top w:val="single" w:color="DBEAFE" w:sz="1"/>
              <w:left w:val="single" w:color="DBEAFE" w:sz="1"/>
              <w:bottom w:val="single" w:color="DBEAFE" w:sz="1"/>
              <w:right w:val="single" w:color="DBEAFE" w:sz="1"/>
            </w:tcBorders>
            <w:shd w:fill="F5FFFE"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Yes — guidance only</w:t>
            </w:r>
          </w:p>
        </w:tc>
        <w:tc>
          <w:tcPr>
            <w:tcW w:type="dxa" w:w="138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Yes — tiered</w:t>
            </w:r>
          </w:p>
        </w:tc>
        <w:tc>
          <w:tcPr>
            <w:tcW w:type="dxa" w:w="1740"/>
            <w:tcBorders>
              <w:top w:val="single" w:color="DBEAFE" w:sz="1"/>
              <w:left w:val="single" w:color="DBEAFE" w:sz="1"/>
              <w:bottom w:val="single" w:color="DBEAFE" w:sz="1"/>
              <w:right w:val="single" w:color="DBEAFE" w:sz="1"/>
            </w:tcBorders>
            <w:shd w:fill="FFF8F8"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Limited — complex</w:t>
            </w:r>
          </w:p>
        </w:tc>
      </w:tr>
      <w:tr>
        <w:tc>
          <w:tcPr>
            <w:tcW w:type="dxa" w:w="21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D1D5DB"/>
                <w:sz w:val="19"/>
                <w:szCs w:val="19"/>
              </w:rPr>
              <w:t xml:space="preserve">Works with ISO 27001?</w:t>
            </w:r>
          </w:p>
        </w:tc>
        <w:tc>
          <w:tcPr>
            <w:tcW w:type="dxa" w:w="13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w:t>
            </w:r>
          </w:p>
        </w:tc>
        <w:tc>
          <w:tcPr>
            <w:tcW w:type="dxa" w:w="1380"/>
            <w:tcBorders>
              <w:top w:val="single" w:color="DBEAFE" w:sz="1"/>
              <w:left w:val="single" w:color="DBEAFE" w:sz="1"/>
              <w:bottom w:val="single" w:color="DBEAFE" w:sz="1"/>
              <w:right w:val="single" w:color="DBEAFE" w:sz="1"/>
            </w:tcBorders>
            <w:shd w:fill="F5F3FF"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Complementary</w:t>
            </w:r>
          </w:p>
        </w:tc>
        <w:tc>
          <w:tcPr>
            <w:tcW w:type="dxa" w:w="1380"/>
            <w:tcBorders>
              <w:top w:val="single" w:color="DBEAFE" w:sz="1"/>
              <w:left w:val="single" w:color="DBEAFE" w:sz="1"/>
              <w:bottom w:val="single" w:color="DBEAFE" w:sz="1"/>
              <w:right w:val="single" w:color="DBEAFE" w:sz="1"/>
            </w:tcBorders>
            <w:shd w:fill="F0FDFA"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Maps well</w:t>
            </w:r>
          </w:p>
        </w:tc>
        <w:tc>
          <w:tcPr>
            <w:tcW w:type="dxa" w:w="13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Maps well</w:t>
            </w:r>
          </w:p>
        </w:tc>
        <w:tc>
          <w:tcPr>
            <w:tcW w:type="dxa" w:w="1740"/>
            <w:tcBorders>
              <w:top w:val="single" w:color="DBEAFE" w:sz="1"/>
              <w:left w:val="single" w:color="DBEAFE" w:sz="1"/>
              <w:bottom w:val="single" w:color="DBEAFE" w:sz="1"/>
              <w:right w:val="single" w:color="DBEAFE" w:sz="1"/>
            </w:tcBorders>
            <w:shd w:fill="FFF1F2" w:val="clear"/>
            <w:tcMar>
              <w:top w:type="dxa" w:w="90"/>
              <w:left w:type="dxa" w:w="110"/>
              <w:bottom w:type="dxa" w:w="90"/>
              <w:right w:type="dxa" w:w="110"/>
            </w:tcMar>
          </w:tcPr>
          <w:p>
            <w:pPr>
              <w:jc w:val="center"/>
            </w:pPr>
            <w:r>
              <w:rPr>
                <w:rFonts w:ascii="Georgia" w:cs="Georgia" w:eastAsia="Georgia" w:hAnsi="Georgia"/>
                <w:color w:val="111827"/>
                <w:sz w:val="19"/>
                <w:szCs w:val="19"/>
              </w:rPr>
              <w:t xml:space="preserve">Integrates via HLS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KEY OBSERVATION</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ISO 27001 is the only framework in this comparison that is simultaneously international in scope, certifiable by an independent third party, and explicitly referenced in Indonesian regulatory instruments. For organizations operating in Indonesia's regulated sectors, this combination is decisive.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ISO 27001 vs SOC 2: The Most Common Comparison</w:t>
      </w:r>
    </w:p>
    <w:p>
      <w:pPr>
        <w:spacing w:after="80"/>
      </w:pPr>
      <w:r>
        <w:t xml:space="preserve"/>
      </w:r>
    </w:p>
    <w:p>
      <w:pPr>
        <w:spacing w:after="160" w:line="320"/>
        <w:jc w:val="both"/>
      </w:pPr>
      <w:r>
        <w:rPr>
          <w:rFonts w:ascii="Georgia" w:cs="Georgia" w:eastAsia="Georgia" w:hAnsi="Georgia"/>
          <w:color w:val="111827"/>
          <w:sz w:val="22"/>
          <w:szCs w:val="22"/>
        </w:rPr>
        <w:t xml:space="preserve">This is the comparison that comes up most frequently, particularly for Indonesian technology companies that are growing their international client base. The question is usually: which should we pursue first?</w:t>
      </w:r>
    </w:p>
    <w:p>
      <w:pPr>
        <w:spacing w:after="80"/>
      </w:pPr>
      <w:r>
        <w:t xml:space="preserve"/>
      </w:r>
    </w:p>
    <w:p>
      <w:pPr>
        <w:pStyle w:val="Heading3"/>
        <w:spacing w:after="120" w:before="280"/>
      </w:pPr>
      <w:r>
        <w:rPr>
          <w:rFonts w:ascii="Arial" w:cs="Arial" w:eastAsia="Arial" w:hAnsi="Arial"/>
          <w:b/>
          <w:bCs/>
          <w:color w:val="2563A8"/>
          <w:sz w:val="24"/>
          <w:szCs w:val="24"/>
        </w:rPr>
        <w:t xml:space="preserve">What SOC 2 does well</w:t>
      </w:r>
    </w:p>
    <w:p>
      <w:pPr>
        <w:spacing w:after="80"/>
      </w:pPr>
      <w:r>
        <w:t xml:space="preserve"/>
      </w:r>
    </w:p>
    <w:p>
      <w:pPr>
        <w:spacing w:after="160" w:line="320"/>
        <w:jc w:val="both"/>
      </w:pPr>
      <w:r>
        <w:rPr>
          <w:rFonts w:ascii="Georgia" w:cs="Georgia" w:eastAsia="Georgia" w:hAnsi="Georgia"/>
          <w:color w:val="111827"/>
          <w:sz w:val="22"/>
          <w:szCs w:val="22"/>
        </w:rPr>
        <w:t xml:space="preserve">SOC 2 Type II reports are extremely well understood by US enterprise procurement and legal teams. If your primary growth market is the United States — particularly SaaS sales to enterprise companies — a SOC 2 Type II report will often unlock more doors faster than an ISO 27001 certificate, simply because US buyers are more familiar with SOC 2 and their internal compliance programs are built around it.</w:t>
      </w:r>
    </w:p>
    <w:p>
      <w:pPr>
        <w:spacing w:after="80"/>
      </w:pPr>
      <w:r>
        <w:t xml:space="preserve"/>
      </w:r>
    </w:p>
    <w:p>
      <w:pPr>
        <w:spacing w:after="160" w:line="320"/>
        <w:jc w:val="both"/>
      </w:pPr>
      <w:r>
        <w:rPr>
          <w:rFonts w:ascii="Georgia" w:cs="Georgia" w:eastAsia="Georgia" w:hAnsi="Georgia"/>
          <w:color w:val="111827"/>
          <w:sz w:val="22"/>
          <w:szCs w:val="22"/>
        </w:rPr>
        <w:t xml:space="preserve">SOC 2 also has flexibility in scope. Because it is an attestation against Trust Services Criteria rather than a fixed standard, the auditor's report can be tailored to the specific services and systems examined. This can make it easier to get a clean report on a bounded scope than to achieve ISO 27001 certification across a broader ISMS.</w:t>
      </w:r>
    </w:p>
    <w:p>
      <w:pPr>
        <w:spacing w:after="80"/>
      </w:pPr>
      <w:r>
        <w:t xml:space="preserve"/>
      </w:r>
    </w:p>
    <w:p>
      <w:pPr>
        <w:pStyle w:val="Heading3"/>
        <w:spacing w:after="120" w:before="280"/>
      </w:pPr>
      <w:r>
        <w:rPr>
          <w:rFonts w:ascii="Arial" w:cs="Arial" w:eastAsia="Arial" w:hAnsi="Arial"/>
          <w:b/>
          <w:bCs/>
          <w:color w:val="2563A8"/>
          <w:sz w:val="24"/>
          <w:szCs w:val="24"/>
        </w:rPr>
        <w:t xml:space="preserve">Where ISO 27001 wins decisively</w:t>
      </w:r>
    </w:p>
    <w:p>
      <w:pPr>
        <w:spacing w:after="80"/>
      </w:pPr>
      <w:r>
        <w:t xml:space="preserve"/>
      </w:r>
    </w:p>
    <w:p>
      <w:pPr>
        <w:spacing w:after="160" w:line="320"/>
        <w:jc w:val="both"/>
      </w:pPr>
      <w:r>
        <w:rPr>
          <w:rFonts w:ascii="Georgia" w:cs="Georgia" w:eastAsia="Georgia" w:hAnsi="Georgia"/>
          <w:color w:val="111827"/>
          <w:sz w:val="22"/>
          <w:szCs w:val="22"/>
        </w:rPr>
        <w:t xml:space="preserve">For Indonesian organizations, ISO 27001 wins on regulatory recognition, international versatility, and the quality of what it actually builds. A SOC 2 report is not recognized by OJK, Bank Indonesia, or BSSN. It will not satisfy the IT governance requirements of Indonesian financial service regulations. It will not appear in Indonesian government procurement RFPs. And unlike ISO 27001, it does not require or produce an ISMS — it is an audit of existing controls, not a framework for building a management system.</w:t>
      </w:r>
    </w:p>
    <w:p>
      <w:pPr>
        <w:spacing w:after="80"/>
      </w:pPr>
      <w:r>
        <w:t xml:space="preserve"/>
      </w:r>
    </w:p>
    <w:p>
      <w:pPr>
        <w:spacing w:after="160" w:line="320"/>
        <w:jc w:val="both"/>
      </w:pPr>
      <w:r>
        <w:rPr>
          <w:rFonts w:ascii="Georgia" w:cs="Georgia" w:eastAsia="Georgia" w:hAnsi="Georgia"/>
          <w:color w:val="111827"/>
          <w:sz w:val="22"/>
          <w:szCs w:val="22"/>
        </w:rPr>
        <w:t xml:space="preserve">ISO 27001 is also recognized by enterprise buyers in Europe, the Middle East, Singapore, Japan, and Australia — markets that do not use SOC 2. If your organization has any international ambition beyond the US market, ISO 27001 is the more versatile credential.</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F6E4" w:sz="1"/>
              <w:left w:val="single" w:color="0F766E" w:sz="12"/>
              <w:bottom w:val="single" w:color="99F6E4" w:sz="1"/>
              <w:right w:val="single" w:color="99F6E4"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practical answer for most Indonesian technology companies: Get ISO 27001 first. It satisfies your Indonesian regulatory obligations, opens regional and global markets, and builds a genuine ISMS. If you later pursue the US enterprise market aggressively, add SOC 2 Type II — your ISO 27001 controls will cover most of the Trust Services Criteria, so the incremental effort is manageable.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ISO 27001 vs NIST CSF: Complementary, Not Competing</w:t>
      </w:r>
    </w:p>
    <w:p>
      <w:pPr>
        <w:spacing w:after="80"/>
      </w:pPr>
      <w:r>
        <w:t xml:space="preserve"/>
      </w:r>
    </w:p>
    <w:p>
      <w:pPr>
        <w:spacing w:after="160" w:line="320"/>
        <w:jc w:val="both"/>
      </w:pPr>
      <w:r>
        <w:rPr>
          <w:rFonts w:ascii="Georgia" w:cs="Georgia" w:eastAsia="Georgia" w:hAnsi="Georgia"/>
          <w:color w:val="111827"/>
          <w:sz w:val="22"/>
          <w:szCs w:val="22"/>
        </w:rPr>
        <w:t xml:space="preserve">NIST CSF and ISO 27001 are often presented as alternatives, but they serve different functions and are more useful in combination than in competition.</w:t>
      </w:r>
    </w:p>
    <w:p>
      <w:pPr>
        <w:spacing w:after="80"/>
      </w:pPr>
      <w:r>
        <w:t xml:space="preserve"/>
      </w:r>
    </w:p>
    <w:p>
      <w:pPr>
        <w:spacing w:after="160" w:line="320"/>
        <w:jc w:val="both"/>
      </w:pPr>
      <w:r>
        <w:rPr>
          <w:rFonts w:ascii="Georgia" w:cs="Georgia" w:eastAsia="Georgia" w:hAnsi="Georgia"/>
          <w:color w:val="111827"/>
          <w:sz w:val="22"/>
          <w:szCs w:val="22"/>
        </w:rPr>
        <w:t xml:space="preserve">NIST CSF 2.0's six-function structure — Govern, Identify, Protect, Detect, Respond, Recover — provides an excellent vocabulary for communicating about cybersecurity to non-technical audiences, particularly boards and executive teams. The framework's language is intuitive and its structure maps naturally to how business leaders think about risk.</w:t>
      </w:r>
    </w:p>
    <w:p>
      <w:pPr>
        <w:spacing w:after="80"/>
      </w:pPr>
      <w:r>
        <w:t xml:space="preserve"/>
      </w:r>
    </w:p>
    <w:p>
      <w:pPr>
        <w:spacing w:after="160" w:line="320"/>
        <w:jc w:val="both"/>
      </w:pPr>
      <w:r>
        <w:rPr>
          <w:rFonts w:ascii="Georgia" w:cs="Georgia" w:eastAsia="Georgia" w:hAnsi="Georgia"/>
          <w:color w:val="111827"/>
          <w:sz w:val="22"/>
          <w:szCs w:val="22"/>
        </w:rPr>
        <w:t xml:space="preserve">ISO 27001, by contrast, provides the actual management system architecture — the risk assessment methodology, the control selection process, the documentation requirements, the audit and improvement cycle. It is more operational and more demanding than NIST CSF, but it produces something verifiable.</w:t>
      </w:r>
    </w:p>
    <w:p>
      <w:pPr>
        <w:spacing w:after="80"/>
      </w:pPr>
      <w:r>
        <w:t xml:space="preserve"/>
      </w:r>
    </w:p>
    <w:p>
      <w:pPr>
        <w:spacing w:after="160" w:line="320"/>
        <w:jc w:val="both"/>
      </w:pPr>
      <w:r>
        <w:rPr>
          <w:rFonts w:ascii="Georgia" w:cs="Georgia" w:eastAsia="Georgia" w:hAnsi="Georgia"/>
          <w:color w:val="111827"/>
          <w:sz w:val="22"/>
          <w:szCs w:val="22"/>
        </w:rPr>
        <w:t xml:space="preserve">Many mature organizations use NIST CSF as a board-level reporting lens while running ISO 27001 as the operational management system underneath. The NIST CSF functions map reasonably well to ISO 27001's clauses and Annex A controls, so the two can coexist without duplicating effort.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6FE" w:sz="1"/>
              <w:left w:val="single" w:color="6D28D9" w:sz="12"/>
              <w:bottom w:val="single" w:color="DDD6FE" w:sz="1"/>
              <w:right w:val="single" w:color="DDD6FE"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Mapping note: ISO 27001:2022 Annex A control attributes include a 'cybersecurity concept' attribute that maps each control to the NIST CSF functions (Identify, Protect, Detect, Respond, Recover). This makes it straightforward to report ISO 27001 control coverage in NIST CSF terms — giving boards the framework language they prefer while the ISMS does the operational work.</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ISO 27001 vs CIS Controls: Management System vs Prescription</w:t>
      </w:r>
    </w:p>
    <w:p>
      <w:pPr>
        <w:spacing w:after="80"/>
      </w:pPr>
      <w:r>
        <w:t xml:space="preserve"/>
      </w:r>
    </w:p>
    <w:p>
      <w:pPr>
        <w:spacing w:after="160" w:line="320"/>
        <w:jc w:val="both"/>
      </w:pPr>
      <w:r>
        <w:rPr>
          <w:rFonts w:ascii="Georgia" w:cs="Georgia" w:eastAsia="Georgia" w:hAnsi="Georgia"/>
          <w:color w:val="111827"/>
          <w:sz w:val="22"/>
          <w:szCs w:val="22"/>
        </w:rPr>
        <w:t xml:space="preserve">CIS Controls and ISO 27001 represent two fundamentally different philosophies about how to improve security.</w:t>
      </w:r>
    </w:p>
    <w:p>
      <w:pPr>
        <w:spacing w:after="80"/>
      </w:pPr>
      <w:r>
        <w:t xml:space="preserve"/>
      </w:r>
    </w:p>
    <w:p>
      <w:pPr>
        <w:spacing w:after="160" w:line="320"/>
        <w:jc w:val="both"/>
      </w:pPr>
      <w:r>
        <w:rPr>
          <w:rFonts w:ascii="Georgia" w:cs="Georgia" w:eastAsia="Georgia" w:hAnsi="Georgia"/>
          <w:color w:val="111827"/>
          <w:sz w:val="22"/>
          <w:szCs w:val="22"/>
        </w:rPr>
        <w:t xml:space="preserve">CIS Controls says: here is a prioritized list of the most impactful things you should do, ordered by effectiveness. Implement them in order. This is enormously practical for organizations that need to improve their technical security posture quickly and do not have the resources or maturity to run a full ISMS. Implementation Group 1 alone — covering basic cyber hygiene across 56 safeguards — addresses the majority of common attack vectors.</w:t>
      </w:r>
    </w:p>
    <w:p>
      <w:pPr>
        <w:spacing w:after="80"/>
      </w:pPr>
      <w:r>
        <w:t xml:space="preserve"/>
      </w:r>
    </w:p>
    <w:p>
      <w:pPr>
        <w:spacing w:after="160" w:line="320"/>
        <w:jc w:val="both"/>
      </w:pPr>
      <w:r>
        <w:rPr>
          <w:rFonts w:ascii="Georgia" w:cs="Georgia" w:eastAsia="Georgia" w:hAnsi="Georgia"/>
          <w:color w:val="111827"/>
          <w:sz w:val="22"/>
          <w:szCs w:val="22"/>
        </w:rPr>
        <w:t xml:space="preserve">ISO 27001 says: build a management system that identifies your specific risks and selects controls appropriate to those risks. This is more sophisticated and more scalable, but it requires more organizational maturity to implement effectively. The specific technical controls in ISO 27001's Annex A overlap significantly with CIS Controls — but the management system framework around them is what makes ISO 27001 an ISMS rather than a security checklist.</w:t>
      </w:r>
    </w:p>
    <w:p>
      <w:pPr>
        <w:spacing w:after="80"/>
      </w:pPr>
      <w:r>
        <w:t xml:space="preserve"/>
      </w:r>
    </w:p>
    <w:p>
      <w:pPr>
        <w:spacing w:after="160" w:line="320"/>
        <w:jc w:val="both"/>
      </w:pPr>
      <w:r>
        <w:rPr>
          <w:rFonts w:ascii="Georgia" w:cs="Georgia" w:eastAsia="Georgia" w:hAnsi="Georgia"/>
          <w:color w:val="111827"/>
          <w:sz w:val="22"/>
          <w:szCs w:val="22"/>
        </w:rPr>
        <w:t xml:space="preserve">For organizations early in their security journey, CIS Controls Implementation Group 1 and 2 can serve as a practical first step — building the technical baseline that an ISO 27001 ISMS will subsequently govern and document. They are not mutually exclusive; many organizations use CIS Controls to guide their technical implementation while building toward ISO 27001 certification.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DE68A" w:sz="1"/>
              <w:left w:val="single" w:color="B45309" w:sz="12"/>
              <w:bottom w:val="single" w:color="FDE68A" w:sz="1"/>
              <w:right w:val="single" w:color="FDE68A"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Practical path: If your organization has minimal security controls in place today, start with CIS Controls IG1 to establish a technical baseline. Run this in parallel with the early stages of ISMS documentation. By the time you are ready for ISO 27001 certification, the controls will largely already be implemented — which significantly reduces the gap between your risk assessment findings and your treatment plan.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ISO 27001 vs COBIT: Governance Above vs. Security Specifically</w:t>
      </w:r>
    </w:p>
    <w:p>
      <w:pPr>
        <w:spacing w:after="80"/>
      </w:pPr>
      <w:r>
        <w:t xml:space="preserve"/>
      </w:r>
    </w:p>
    <w:p>
      <w:pPr>
        <w:spacing w:after="160" w:line="320"/>
        <w:jc w:val="both"/>
      </w:pPr>
      <w:r>
        <w:rPr>
          <w:rFonts w:ascii="Georgia" w:cs="Georgia" w:eastAsia="Georgia" w:hAnsi="Georgia"/>
          <w:color w:val="111827"/>
          <w:sz w:val="22"/>
          <w:szCs w:val="22"/>
        </w:rPr>
        <w:t xml:space="preserve">COBIT and ISO 27001 operate at different levels of abstraction, and for most organizations, they address different parts of the problem.</w:t>
      </w:r>
    </w:p>
    <w:p>
      <w:pPr>
        <w:spacing w:after="80"/>
      </w:pPr>
      <w:r>
        <w:t xml:space="preserve"/>
      </w:r>
    </w:p>
    <w:p>
      <w:pPr>
        <w:spacing w:after="160" w:line="320"/>
        <w:jc w:val="both"/>
      </w:pPr>
      <w:r>
        <w:rPr>
          <w:rFonts w:ascii="Georgia" w:cs="Georgia" w:eastAsia="Georgia" w:hAnsi="Georgia"/>
          <w:color w:val="111827"/>
          <w:sz w:val="22"/>
          <w:szCs w:val="22"/>
        </w:rPr>
        <w:t xml:space="preserve">COBIT is concerned with how IT is governed across the entire enterprise — how IT strategy aligns with business strategy, how IT investments are managed, how IT risk is governed at the board level, and how IT performance is measured. Information security is one component of this broader governance picture.</w:t>
      </w:r>
    </w:p>
    <w:p>
      <w:pPr>
        <w:spacing w:after="80"/>
      </w:pPr>
      <w:r>
        <w:t xml:space="preserve"/>
      </w:r>
    </w:p>
    <w:p>
      <w:pPr>
        <w:spacing w:after="160" w:line="320"/>
        <w:jc w:val="both"/>
      </w:pPr>
      <w:r>
        <w:rPr>
          <w:rFonts w:ascii="Georgia" w:cs="Georgia" w:eastAsia="Georgia" w:hAnsi="Georgia"/>
          <w:color w:val="111827"/>
          <w:sz w:val="22"/>
          <w:szCs w:val="22"/>
        </w:rPr>
        <w:t xml:space="preserve">ISO 27001 is specifically focused on information security — building a management system that systematically identifies and treats information security risks. It does not attempt to govern all of IT; it governs the information security function within IT (and beyond IT, since ISMS scope can extend to people, physical environments, and organizational processes).</w:t>
      </w:r>
    </w:p>
    <w:p>
      <w:pPr>
        <w:spacing w:after="80"/>
      </w:pPr>
      <w:r>
        <w:t xml:space="preserve"/>
      </w:r>
    </w:p>
    <w:p>
      <w:pPr>
        <w:spacing w:after="160" w:line="320"/>
        <w:jc w:val="both"/>
      </w:pPr>
      <w:r>
        <w:rPr>
          <w:rFonts w:ascii="Georgia" w:cs="Georgia" w:eastAsia="Georgia" w:hAnsi="Georgia"/>
          <w:color w:val="111827"/>
          <w:sz w:val="22"/>
          <w:szCs w:val="22"/>
        </w:rPr>
        <w:t xml:space="preserve">For large Indonesian financial institutions — major banks, large insurance companies, SOE financial services companies — both may be relevant. COBIT provides the IT governance structure that OJK expects at the enterprise level, while ISO 27001 provides the certifiable information security management system that demonstrates specific security program maturity. They layer rather than overlap.</w:t>
      </w:r>
    </w:p>
    <w:p>
      <w:pPr>
        <w:spacing w:after="80"/>
      </w:pPr>
      <w:r>
        <w:t xml:space="preserve"/>
      </w:r>
    </w:p>
    <w:p>
      <w:pPr>
        <w:spacing w:after="160" w:line="320"/>
        <w:jc w:val="both"/>
      </w:pPr>
      <w:r>
        <w:rPr>
          <w:rFonts w:ascii="Georgia" w:cs="Georgia" w:eastAsia="Georgia" w:hAnsi="Georgia"/>
          <w:color w:val="111827"/>
          <w:sz w:val="22"/>
          <w:szCs w:val="22"/>
        </w:rPr>
        <w:t xml:space="preserve">For most mid-market and SME organizations, COBIT's complexity is disproportionate to the benefit. ISO 27001 covers the information security governance requirements that matter for their regulatory and client obligations without the overhead of a full enterprise IT governance framework.</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Multi-Framework Reality: How Organizations Actually Combine These</w:t>
      </w:r>
    </w:p>
    <w:p>
      <w:pPr>
        <w:spacing w:after="80"/>
      </w:pPr>
      <w:r>
        <w:t xml:space="preserve"/>
      </w:r>
    </w:p>
    <w:p>
      <w:pPr>
        <w:spacing w:after="160" w:line="320"/>
        <w:jc w:val="both"/>
      </w:pPr>
      <w:r>
        <w:rPr>
          <w:rFonts w:ascii="Georgia" w:cs="Georgia" w:eastAsia="Georgia" w:hAnsi="Georgia"/>
          <w:color w:val="111827"/>
          <w:sz w:val="22"/>
          <w:szCs w:val="22"/>
        </w:rPr>
        <w:t xml:space="preserve">In practice, the question is rarely "which single framework should we use?" — it is "what combination makes sense for our regulatory obligations, client requirements, and organizational maturity?"</w:t>
      </w:r>
    </w:p>
    <w:p>
      <w:pPr>
        <w:spacing w:after="80"/>
      </w:pPr>
      <w:r>
        <w:t xml:space="preserve"/>
      </w:r>
    </w:p>
    <w:p>
      <w:pPr>
        <w:spacing w:after="160" w:line="320"/>
        <w:jc w:val="both"/>
      </w:pPr>
      <w:r>
        <w:rPr>
          <w:rFonts w:ascii="Georgia" w:cs="Georgia" w:eastAsia="Georgia" w:hAnsi="Georgia"/>
          <w:color w:val="111827"/>
          <w:sz w:val="22"/>
          <w:szCs w:val="22"/>
        </w:rPr>
        <w:t xml:space="preserve">The most common combinations seen among Indonesian organizations in 2026 are:</w:t>
      </w:r>
    </w:p>
    <w:p>
      <w:pPr>
        <w:spacing w:after="100"/>
      </w:pPr>
      <w:r>
        <w:t xml:space="preserve"/>
      </w:r>
    </w:p>
    <w:p>
      <w:pPr>
        <w:pStyle w:val="ListParagraph"/>
        <w:numPr>
          <w:ilvl w:val="0"/>
          <w:numId w:val="2"/>
        </w:numPr>
        <w:spacing w:after="100"/>
      </w:pPr>
      <w:r>
        <w:rPr>
          <w:rFonts w:ascii="Georgia" w:cs="Georgia" w:eastAsia="Georgia" w:hAnsi="Georgia"/>
          <w:b/>
          <w:bCs/>
          <w:color w:val="111827"/>
          <w:sz w:val="22"/>
          <w:szCs w:val="22"/>
        </w:rPr>
        <w:t xml:space="preserve">Most common: </w:t>
      </w:r>
      <w:r>
        <w:rPr>
          <w:rFonts w:ascii="Georgia" w:cs="Georgia" w:eastAsia="Georgia" w:hAnsi="Georgia"/>
          <w:color w:val="111827"/>
          <w:sz w:val="22"/>
          <w:szCs w:val="22"/>
        </w:rPr>
        <w:t xml:space="preserve">ISO 27001 only — the baseline for most Indonesian regulated industry organizations. Satisfies regulatory requirements, enables client trust, and builds an operational ISMS.</w:t>
      </w:r>
    </w:p>
    <w:p>
      <w:pPr>
        <w:pStyle w:val="ListParagraph"/>
        <w:numPr>
          <w:ilvl w:val="0"/>
          <w:numId w:val="2"/>
        </w:numPr>
        <w:spacing w:after="100"/>
      </w:pPr>
      <w:r>
        <w:rPr>
          <w:rFonts w:ascii="Georgia" w:cs="Georgia" w:eastAsia="Georgia" w:hAnsi="Georgia"/>
          <w:b/>
          <w:bCs/>
          <w:color w:val="111827"/>
          <w:sz w:val="22"/>
          <w:szCs w:val="22"/>
        </w:rPr>
        <w:t xml:space="preserve">Growth path: </w:t>
      </w:r>
      <w:r>
        <w:rPr>
          <w:rFonts w:ascii="Georgia" w:cs="Georgia" w:eastAsia="Georgia" w:hAnsi="Georgia"/>
          <w:color w:val="111827"/>
          <w:sz w:val="22"/>
          <w:szCs w:val="22"/>
        </w:rPr>
        <w:t xml:space="preserve">ISO 27001 + SOC 2 Type II — for Indonesian technology companies with significant US enterprise sales. ISO 27001 handles domestic and regional requirements; SOC 2 handles the US enterprise market.</w:t>
      </w:r>
    </w:p>
    <w:p>
      <w:pPr>
        <w:pStyle w:val="ListParagraph"/>
        <w:numPr>
          <w:ilvl w:val="0"/>
          <w:numId w:val="2"/>
        </w:numPr>
        <w:spacing w:after="100"/>
      </w:pPr>
      <w:r>
        <w:rPr>
          <w:rFonts w:ascii="Georgia" w:cs="Georgia" w:eastAsia="Georgia" w:hAnsi="Georgia"/>
          <w:b/>
          <w:bCs/>
          <w:color w:val="111827"/>
          <w:sz w:val="22"/>
          <w:szCs w:val="22"/>
        </w:rPr>
        <w:t xml:space="preserve">Enterprise add-on: </w:t>
      </w:r>
      <w:r>
        <w:rPr>
          <w:rFonts w:ascii="Georgia" w:cs="Georgia" w:eastAsia="Georgia" w:hAnsi="Georgia"/>
          <w:color w:val="111827"/>
          <w:sz w:val="22"/>
          <w:szCs w:val="22"/>
        </w:rPr>
        <w:t xml:space="preserve">ISO 27001 + NIST CSF — for organizations that want board-level reporting clarity alongside operational ISMS rigor. NIST CSF functions as the executive communication layer over ISO 27001's operational structure.</w:t>
      </w:r>
    </w:p>
    <w:p>
      <w:pPr>
        <w:pStyle w:val="ListParagraph"/>
        <w:numPr>
          <w:ilvl w:val="0"/>
          <w:numId w:val="2"/>
        </w:numPr>
        <w:spacing w:after="100"/>
      </w:pPr>
      <w:r>
        <w:rPr>
          <w:rFonts w:ascii="Georgia" w:cs="Georgia" w:eastAsia="Georgia" w:hAnsi="Georgia"/>
          <w:b/>
          <w:bCs/>
          <w:color w:val="111827"/>
          <w:sz w:val="22"/>
          <w:szCs w:val="22"/>
        </w:rPr>
        <w:t xml:space="preserve">Build-up path: </w:t>
      </w:r>
      <w:r>
        <w:rPr>
          <w:rFonts w:ascii="Georgia" w:cs="Georgia" w:eastAsia="Georgia" w:hAnsi="Georgia"/>
          <w:color w:val="111827"/>
          <w:sz w:val="22"/>
          <w:szCs w:val="22"/>
        </w:rPr>
        <w:t xml:space="preserve">CIS Controls as foundation, then ISO 27001 — for organizations starting from minimal security maturity. CIS builds the technical baseline; ISO 27001 builds the management system on top.</w:t>
      </w:r>
    </w:p>
    <w:p>
      <w:pPr>
        <w:pStyle w:val="ListParagraph"/>
        <w:numPr>
          <w:ilvl w:val="0"/>
          <w:numId w:val="2"/>
        </w:numPr>
        <w:spacing w:after="100"/>
      </w:pPr>
      <w:r>
        <w:rPr>
          <w:rFonts w:ascii="Georgia" w:cs="Georgia" w:eastAsia="Georgia" w:hAnsi="Georgia"/>
          <w:b/>
          <w:bCs/>
          <w:color w:val="111827"/>
          <w:sz w:val="22"/>
          <w:szCs w:val="22"/>
        </w:rPr>
        <w:t xml:space="preserve">Large enterprise: </w:t>
      </w:r>
      <w:r>
        <w:rPr>
          <w:rFonts w:ascii="Georgia" w:cs="Georgia" w:eastAsia="Georgia" w:hAnsi="Georgia"/>
          <w:color w:val="111827"/>
          <w:sz w:val="22"/>
          <w:szCs w:val="22"/>
        </w:rPr>
        <w:t xml:space="preserve">ISO 27001 + COBIT — for large financial institutions with enterprise IT governance requirements from OJK alongside information security certification needs.</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GRC capability: Bitlion's platform supports multi-framework mapping natively. Controls implemented for ISO 27001 are automatically mapped to their equivalents in NIST CSF, CIS Controls v8, and SOC 2 Trust Services Criteria — so organizations pursuing multiple frameworks do not need to manage separate control registers. One implementation, multiple framework coverage.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Decision Guide: Which Framework for Your Situation</w:t>
      </w:r>
    </w:p>
    <w:p>
      <w:pPr>
        <w:spacing w:after="80"/>
      </w:pPr>
      <w:r>
        <w:t xml:space="preserve"/>
      </w:r>
    </w:p>
    <w:p>
      <w:pPr>
        <w:spacing w:after="160" w:line="320"/>
        <w:jc w:val="both"/>
      </w:pPr>
      <w:r>
        <w:rPr>
          <w:rFonts w:ascii="Georgia" w:cs="Georgia" w:eastAsia="Georgia" w:hAnsi="Georgia"/>
          <w:color w:val="111827"/>
          <w:sz w:val="22"/>
          <w:szCs w:val="22"/>
        </w:rPr>
        <w:t xml:space="preserve">The table below provides a quick decision guide based on common organizational situations. These are starting points, not rigid rules — the right answer depends on your specific regulatory obligations, client requirements, and resource constraints.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360"/>
        <w:gridCol w:w="4000"/>
      </w:tblGrid>
      <w:tr>
        <w:tc>
          <w:tcPr>
            <w:tcW w:type="dxa" w:w="536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Your situation</w:t>
            </w:r>
          </w:p>
        </w:tc>
        <w:tc>
          <w:tcPr>
            <w:tcW w:type="dxa" w:w="400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Recommended approach</w:t>
            </w:r>
          </w:p>
        </w:tc>
      </w:tr>
      <w:tr>
        <w:tc>
          <w:tcPr>
            <w:tcW w:type="dxa" w:w="536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Georgia" w:cs="Georgia" w:eastAsia="Georgia" w:hAnsi="Georgia"/>
                <w:i/>
                <w:iCs/>
                <w:color w:val="111827"/>
                <w:sz w:val="20"/>
                <w:szCs w:val="20"/>
              </w:rPr>
              <w:t xml:space="preserve">You need a formal certificate to win regulated clients or government contracts</w:t>
            </w:r>
          </w:p>
        </w:tc>
        <w:tc>
          <w:tcPr>
            <w:tcW w:type="dxa" w:w="4000"/>
            <w:tcBorders>
              <w:top w:val="single" w:color="DBEAFE" w:sz="1"/>
              <w:left w:val="single" w:color="DBEAFE" w:sz="1"/>
              <w:bottom w:val="single" w:color="DBEAFE" w:sz="1"/>
              <w:right w:val="single" w:color="DBEAFE" w:sz="1"/>
            </w:tcBorders>
            <w:shd w:fill="EBF2FB" w:val="clear"/>
            <w:tcMar>
              <w:top w:type="dxa" w:w="100"/>
              <w:left w:type="dxa" w:w="130"/>
              <w:bottom w:type="dxa" w:w="100"/>
              <w:right w:type="dxa" w:w="130"/>
            </w:tcMar>
          </w:tcPr>
          <w:p>
            <w:r>
              <w:rPr>
                <w:rFonts w:ascii="Arial" w:cs="Arial" w:eastAsia="Arial" w:hAnsi="Arial"/>
                <w:b/>
                <w:bCs/>
                <w:color w:val="111827"/>
                <w:sz w:val="20"/>
                <w:szCs w:val="20"/>
              </w:rPr>
              <w:t xml:space="preserve">ISO 27001</w:t>
            </w:r>
          </w:p>
        </w:tc>
      </w:tr>
      <w:tr>
        <w:tc>
          <w:tcPr>
            <w:tcW w:type="dxa" w:w="536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Georgia" w:cs="Georgia" w:eastAsia="Georgia" w:hAnsi="Georgia"/>
                <w:i/>
                <w:iCs/>
                <w:color w:val="111827"/>
                <w:sz w:val="20"/>
                <w:szCs w:val="20"/>
              </w:rPr>
              <w:t xml:space="preserve">You are a SaaS company primarily selling to US enterprise buyers</w:t>
            </w:r>
          </w:p>
        </w:tc>
        <w:tc>
          <w:tcPr>
            <w:tcW w:type="dxa" w:w="4000"/>
            <w:tcBorders>
              <w:top w:val="single" w:color="DBEAFE" w:sz="1"/>
              <w:left w:val="single" w:color="DBEAFE" w:sz="1"/>
              <w:bottom w:val="single" w:color="DBEAFE" w:sz="1"/>
              <w:right w:val="single" w:color="DBEAFE" w:sz="1"/>
            </w:tcBorders>
            <w:shd w:fill="F5F3FF" w:val="clear"/>
            <w:tcMar>
              <w:top w:type="dxa" w:w="100"/>
              <w:left w:type="dxa" w:w="130"/>
              <w:bottom w:type="dxa" w:w="100"/>
              <w:right w:type="dxa" w:w="130"/>
            </w:tcMar>
          </w:tcPr>
          <w:p>
            <w:r>
              <w:rPr>
                <w:rFonts w:ascii="Arial" w:cs="Arial" w:eastAsia="Arial" w:hAnsi="Arial"/>
                <w:b/>
                <w:bCs/>
                <w:color w:val="111827"/>
                <w:sz w:val="20"/>
                <w:szCs w:val="20"/>
              </w:rPr>
              <w:t xml:space="preserve">SOC 2 Type II (+ ISO 27001 for global reach)</w:t>
            </w:r>
          </w:p>
        </w:tc>
      </w:tr>
      <w:tr>
        <w:tc>
          <w:tcPr>
            <w:tcW w:type="dxa" w:w="536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Georgia" w:cs="Georgia" w:eastAsia="Georgia" w:hAnsi="Georgia"/>
                <w:i/>
                <w:iCs/>
                <w:color w:val="111827"/>
                <w:sz w:val="20"/>
                <w:szCs w:val="20"/>
              </w:rPr>
              <w:t xml:space="preserve">You need an internal risk program baseline without certification overhead</w:t>
            </w:r>
          </w:p>
        </w:tc>
        <w:tc>
          <w:tcPr>
            <w:tcW w:type="dxa" w:w="4000"/>
            <w:tcBorders>
              <w:top w:val="single" w:color="DBEAFE" w:sz="1"/>
              <w:left w:val="single" w:color="DBEAFE" w:sz="1"/>
              <w:bottom w:val="single" w:color="DBEAFE" w:sz="1"/>
              <w:right w:val="single" w:color="DBEAFE" w:sz="1"/>
            </w:tcBorders>
            <w:shd w:fill="F0FDFA" w:val="clear"/>
            <w:tcMar>
              <w:top w:type="dxa" w:w="100"/>
              <w:left w:type="dxa" w:w="130"/>
              <w:bottom w:type="dxa" w:w="100"/>
              <w:right w:type="dxa" w:w="130"/>
            </w:tcMar>
          </w:tcPr>
          <w:p>
            <w:r>
              <w:rPr>
                <w:rFonts w:ascii="Arial" w:cs="Arial" w:eastAsia="Arial" w:hAnsi="Arial"/>
                <w:b/>
                <w:bCs/>
                <w:color w:val="111827"/>
                <w:sz w:val="20"/>
                <w:szCs w:val="20"/>
              </w:rPr>
              <w:t xml:space="preserve">NIST CSF</w:t>
            </w:r>
          </w:p>
        </w:tc>
      </w:tr>
      <w:tr>
        <w:tc>
          <w:tcPr>
            <w:tcW w:type="dxa" w:w="536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Georgia" w:cs="Georgia" w:eastAsia="Georgia" w:hAnsi="Georgia"/>
                <w:i/>
                <w:iCs/>
                <w:color w:val="111827"/>
                <w:sz w:val="20"/>
                <w:szCs w:val="20"/>
              </w:rPr>
              <w:t xml:space="preserve">You want a prioritized, prescriptive technical controls checklist</w:t>
            </w:r>
          </w:p>
        </w:tc>
        <w:tc>
          <w:tcPr>
            <w:tcW w:type="dxa" w:w="4000"/>
            <w:tcBorders>
              <w:top w:val="single" w:color="DBEAFE" w:sz="1"/>
              <w:left w:val="single" w:color="DBEAFE" w:sz="1"/>
              <w:bottom w:val="single" w:color="DBEAFE" w:sz="1"/>
              <w:right w:val="single" w:color="DBEAFE" w:sz="1"/>
            </w:tcBorders>
            <w:shd w:fill="FFFBEB" w:val="clear"/>
            <w:tcMar>
              <w:top w:type="dxa" w:w="100"/>
              <w:left w:type="dxa" w:w="130"/>
              <w:bottom w:type="dxa" w:w="100"/>
              <w:right w:type="dxa" w:w="130"/>
            </w:tcMar>
          </w:tcPr>
          <w:p>
            <w:r>
              <w:rPr>
                <w:rFonts w:ascii="Arial" w:cs="Arial" w:eastAsia="Arial" w:hAnsi="Arial"/>
                <w:b/>
                <w:bCs/>
                <w:color w:val="111827"/>
                <w:sz w:val="20"/>
                <w:szCs w:val="20"/>
              </w:rPr>
              <w:t xml:space="preserve">CIS Controls (Implementation Group 2 or 3)</w:t>
            </w:r>
          </w:p>
        </w:tc>
      </w:tr>
      <w:tr>
        <w:tc>
          <w:tcPr>
            <w:tcW w:type="dxa" w:w="536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Georgia" w:cs="Georgia" w:eastAsia="Georgia" w:hAnsi="Georgia"/>
                <w:i/>
                <w:iCs/>
                <w:color w:val="111827"/>
                <w:sz w:val="20"/>
                <w:szCs w:val="20"/>
              </w:rPr>
              <w:t xml:space="preserve">You are a large enterprise needing IT governance audit alignment</w:t>
            </w:r>
          </w:p>
        </w:tc>
        <w:tc>
          <w:tcPr>
            <w:tcW w:type="dxa" w:w="4000"/>
            <w:tcBorders>
              <w:top w:val="single" w:color="DBEAFE" w:sz="1"/>
              <w:left w:val="single" w:color="DBEAFE" w:sz="1"/>
              <w:bottom w:val="single" w:color="DBEAFE" w:sz="1"/>
              <w:right w:val="single" w:color="DBEAFE" w:sz="1"/>
            </w:tcBorders>
            <w:shd w:fill="FFF1F2" w:val="clear"/>
            <w:tcMar>
              <w:top w:type="dxa" w:w="100"/>
              <w:left w:type="dxa" w:w="130"/>
              <w:bottom w:type="dxa" w:w="100"/>
              <w:right w:type="dxa" w:w="130"/>
            </w:tcMar>
          </w:tcPr>
          <w:p>
            <w:r>
              <w:rPr>
                <w:rFonts w:ascii="Arial" w:cs="Arial" w:eastAsia="Arial" w:hAnsi="Arial"/>
                <w:b/>
                <w:bCs/>
                <w:color w:val="111827"/>
                <w:sz w:val="20"/>
                <w:szCs w:val="20"/>
              </w:rPr>
              <w:t xml:space="preserve">COBIT (with ISO 27001 for security certification)</w:t>
            </w:r>
          </w:p>
        </w:tc>
      </w:tr>
      <w:tr>
        <w:tc>
          <w:tcPr>
            <w:tcW w:type="dxa" w:w="536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Georgia" w:cs="Georgia" w:eastAsia="Georgia" w:hAnsi="Georgia"/>
                <w:i/>
                <w:iCs/>
                <w:color w:val="111827"/>
                <w:sz w:val="20"/>
                <w:szCs w:val="20"/>
              </w:rPr>
              <w:t xml:space="preserve">You operate in Indonesian regulated finance, health, or critical infrastructure</w:t>
            </w:r>
          </w:p>
        </w:tc>
        <w:tc>
          <w:tcPr>
            <w:tcW w:type="dxa" w:w="4000"/>
            <w:tcBorders>
              <w:top w:val="single" w:color="DBEAFE" w:sz="1"/>
              <w:left w:val="single" w:color="DBEAFE" w:sz="1"/>
              <w:bottom w:val="single" w:color="DBEAFE" w:sz="1"/>
              <w:right w:val="single" w:color="DBEAFE" w:sz="1"/>
            </w:tcBorders>
            <w:shd w:fill="ECFDF5" w:val="clear"/>
            <w:tcMar>
              <w:top w:type="dxa" w:w="100"/>
              <w:left w:type="dxa" w:w="130"/>
              <w:bottom w:type="dxa" w:w="100"/>
              <w:right w:type="dxa" w:w="130"/>
            </w:tcMar>
          </w:tcPr>
          <w:p>
            <w:r>
              <w:rPr>
                <w:rFonts w:ascii="Arial" w:cs="Arial" w:eastAsia="Arial" w:hAnsi="Arial"/>
                <w:b/>
                <w:bCs/>
                <w:color w:val="111827"/>
                <w:sz w:val="20"/>
                <w:szCs w:val="20"/>
              </w:rPr>
              <w:t xml:space="preserve">ISO 27001 — only framework with direct regulatory recognition</w:t>
            </w:r>
          </w:p>
        </w:tc>
      </w:tr>
      <w:tr>
        <w:tc>
          <w:tcPr>
            <w:tcW w:type="dxa" w:w="536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Georgia" w:cs="Georgia" w:eastAsia="Georgia" w:hAnsi="Georgia"/>
                <w:i/>
                <w:iCs/>
                <w:color w:val="111827"/>
                <w:sz w:val="20"/>
                <w:szCs w:val="20"/>
              </w:rPr>
              <w:t xml:space="preserve">You have ISO 27001 and want to add US market credibility</w:t>
            </w:r>
          </w:p>
        </w:tc>
        <w:tc>
          <w:tcPr>
            <w:tcW w:type="dxa" w:w="4000"/>
            <w:tcBorders>
              <w:top w:val="single" w:color="DBEAFE" w:sz="1"/>
              <w:left w:val="single" w:color="DBEAFE" w:sz="1"/>
              <w:bottom w:val="single" w:color="DBEAFE" w:sz="1"/>
              <w:right w:val="single" w:color="DBEAFE" w:sz="1"/>
            </w:tcBorders>
            <w:shd w:fill="F5F3FF" w:val="clear"/>
            <w:tcMar>
              <w:top w:type="dxa" w:w="100"/>
              <w:left w:type="dxa" w:w="130"/>
              <w:bottom w:type="dxa" w:w="100"/>
              <w:right w:type="dxa" w:w="130"/>
            </w:tcMar>
          </w:tcPr>
          <w:p>
            <w:r>
              <w:rPr>
                <w:rFonts w:ascii="Arial" w:cs="Arial" w:eastAsia="Arial" w:hAnsi="Arial"/>
                <w:b/>
                <w:bCs/>
                <w:color w:val="111827"/>
                <w:sz w:val="20"/>
                <w:szCs w:val="20"/>
              </w:rPr>
              <w:t xml:space="preserve">Add SOC 2 Type II — leverages existing ISMS controls</w:t>
            </w:r>
          </w:p>
        </w:tc>
      </w:tr>
      <w:tr>
        <w:tc>
          <w:tcPr>
            <w:tcW w:type="dxa" w:w="536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Georgia" w:cs="Georgia" w:eastAsia="Georgia" w:hAnsi="Georgia"/>
                <w:i/>
                <w:iCs/>
                <w:color w:val="111827"/>
                <w:sz w:val="20"/>
                <w:szCs w:val="20"/>
              </w:rPr>
              <w:t xml:space="preserve">Your CISO wants to map your controls to multiple frameworks simultaneously</w:t>
            </w:r>
          </w:p>
        </w:tc>
        <w:tc>
          <w:tcPr>
            <w:tcW w:type="dxa" w:w="4000"/>
            <w:tcBorders>
              <w:top w:val="single" w:color="DBEAFE" w:sz="1"/>
              <w:left w:val="single" w:color="DBEAFE" w:sz="1"/>
              <w:bottom w:val="single" w:color="DBEAFE" w:sz="1"/>
              <w:right w:val="single" w:color="DBEAFE" w:sz="1"/>
            </w:tcBorders>
            <w:shd w:fill="EEF2FF" w:val="clear"/>
            <w:tcMar>
              <w:top w:type="dxa" w:w="100"/>
              <w:left w:type="dxa" w:w="130"/>
              <w:bottom w:type="dxa" w:w="100"/>
              <w:right w:type="dxa" w:w="130"/>
            </w:tcMar>
          </w:tcPr>
          <w:p>
            <w:r>
              <w:rPr>
                <w:rFonts w:ascii="Arial" w:cs="Arial" w:eastAsia="Arial" w:hAnsi="Arial"/>
                <w:b/>
                <w:bCs/>
                <w:color w:val="111827"/>
                <w:sz w:val="20"/>
                <w:szCs w:val="20"/>
              </w:rPr>
              <w:t xml:space="preserve">ISO 27001 as foundation + NIST CSF + CIS Controls mapping</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BOTTOM LINE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For any organization operating in Indonesia's regulated sectors — financial services, healthcare, critical infrastructure, government technology — ISO 27001 is not one option among many. It is the framework with direct regulatory recognition, international certification credibility, and the management system architecture to make security governance sustainable. Other frameworks complement it; none replace it in this context.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A Note on Framework Fatigue</w:t>
      </w:r>
    </w:p>
    <w:p>
      <w:pPr>
        <w:spacing w:after="80"/>
      </w:pPr>
      <w:r>
        <w:t xml:space="preserve"/>
      </w:r>
    </w:p>
    <w:p>
      <w:pPr>
        <w:spacing w:after="160" w:line="320"/>
        <w:jc w:val="both"/>
      </w:pPr>
      <w:r>
        <w:rPr>
          <w:rFonts w:ascii="Georgia" w:cs="Georgia" w:eastAsia="Georgia" w:hAnsi="Georgia"/>
          <w:color w:val="111827"/>
          <w:sz w:val="22"/>
          <w:szCs w:val="22"/>
        </w:rPr>
        <w:t xml:space="preserve">One final observation worth making: framework proliferation is a real problem. Organizations can spend significant time mapping, comparing, and agonizing over framework selection — time that would be better spent actually implementing security controls. The frameworks themselves can become the distraction.</w:t>
      </w:r>
    </w:p>
    <w:p>
      <w:pPr>
        <w:spacing w:after="80"/>
      </w:pPr>
      <w:r>
        <w:t xml:space="preserve"/>
      </w:r>
    </w:p>
    <w:p>
      <w:pPr>
        <w:spacing w:after="160" w:line="320"/>
        <w:jc w:val="both"/>
      </w:pPr>
      <w:r>
        <w:rPr>
          <w:rFonts w:ascii="Georgia" w:cs="Georgia" w:eastAsia="Georgia" w:hAnsi="Georgia"/>
          <w:color w:val="111827"/>
          <w:sz w:val="22"/>
          <w:szCs w:val="22"/>
        </w:rPr>
        <w:t xml:space="preserve">The antidote is to pick a primary framework appropriate to your situation, implement it well, and treat everything else as secondary. For Indonesian regulated organizations, that primary framework is ISO 27001. Start there, build a real ISMS, get certified, and then — once the foundation is solid — consider whether additional frameworks serve specific market or regulatory needs.</w:t>
      </w:r>
    </w:p>
    <w:p>
      <w:pPr>
        <w:spacing w:after="80"/>
      </w:pPr>
      <w:r>
        <w:t xml:space="preserve"/>
      </w:r>
    </w:p>
    <w:p>
      <w:pPr>
        <w:spacing w:after="160" w:line="320"/>
        <w:jc w:val="both"/>
      </w:pPr>
      <w:r>
        <w:rPr>
          <w:rFonts w:ascii="Georgia" w:cs="Georgia" w:eastAsia="Georgia" w:hAnsi="Georgia"/>
          <w:color w:val="111827"/>
          <w:sz w:val="22"/>
          <w:szCs w:val="22"/>
        </w:rPr>
        <w:t xml:space="preserve">A well-implemented ISO 27001 ISMS that your organization actually operates is worth more — in risk reduction, regulatory standing, and market credibility — than five partially implemented frameworks that exist primarily in spreadsheets.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1.6 — Who Should Implement ISO 27001? Guidance on which industries, company sizes, and regulatory environments benefit most from ISO 27001 adoption.</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2026-03-10T07:55:50.915Z</dcterms:created>
  <dcterms:modified xsi:type="dcterms:W3CDTF">2026-03-10T07:55:50.916Z</dcterms:modified>
</cp:coreProperties>
</file>

<file path=docProps/custom.xml><?xml version="1.0" encoding="utf-8"?>
<Properties xmlns="http://schemas.openxmlformats.org/officeDocument/2006/custom-properties" xmlns:vt="http://schemas.openxmlformats.org/officeDocument/2006/docPropsVTypes"/>
</file>